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eastAsia="zh-CN"/>
        </w:rPr>
        <w:t>附件</w:t>
      </w:r>
      <w:r>
        <w:rPr>
          <w:rFonts w:hint="default" w:ascii="Times New Roman" w:hAnsi="Times New Roman" w:eastAsia="方正仿宋_GBK" w:cs="Times New Roman"/>
          <w:sz w:val="30"/>
          <w:szCs w:val="30"/>
          <w:lang w:val="en-US" w:eastAsia="zh-CN"/>
        </w:rPr>
        <w:t>4</w:t>
      </w:r>
    </w:p>
    <w:p>
      <w:pPr>
        <w:spacing w:line="580" w:lineRule="exact"/>
        <w:jc w:val="left"/>
        <w:rPr>
          <w:rFonts w:hint="default" w:ascii="Times New Roman" w:hAnsi="Times New Roman" w:eastAsia="方正仿宋_GBK" w:cs="Times New Roman"/>
          <w:sz w:val="30"/>
          <w:szCs w:val="30"/>
          <w:lang w:val="en-US" w:eastAsia="zh-CN"/>
        </w:rPr>
      </w:pP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工业机器人操作调整工</w:t>
      </w:r>
      <w:r>
        <w:rPr>
          <w:rFonts w:hint="eastAsia" w:ascii="方正小标宋_GBK" w:hAnsi="方正小标宋_GBK" w:eastAsia="方正小标宋_GBK" w:cs="方正小标宋_GBK"/>
          <w:sz w:val="44"/>
          <w:szCs w:val="44"/>
          <w:lang w:eastAsia="zh-CN"/>
        </w:rPr>
        <w:t>技能大赛</w:t>
      </w:r>
      <w:r>
        <w:rPr>
          <w:rFonts w:hint="eastAsia" w:ascii="方正小标宋_GBK" w:hAnsi="方正小标宋_GBK" w:eastAsia="方正小标宋_GBK" w:cs="方正小标宋_GBK"/>
          <w:sz w:val="44"/>
          <w:szCs w:val="44"/>
        </w:rPr>
        <w:t>技术文件</w:t>
      </w:r>
    </w:p>
    <w:p>
      <w:pPr>
        <w:spacing w:line="580" w:lineRule="exact"/>
        <w:jc w:val="center"/>
        <w:rPr>
          <w:rFonts w:ascii="方正小标宋简体" w:hAnsi="方正小标宋简体" w:eastAsia="方正小标宋简体" w:cs="方正小标宋简体"/>
          <w:sz w:val="44"/>
          <w:szCs w:val="44"/>
        </w:rPr>
      </w:pP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1. </w:t>
      </w:r>
      <w:bookmarkStart w:id="1" w:name="_GoBack"/>
      <w:bookmarkEnd w:id="1"/>
      <w:r>
        <w:rPr>
          <w:rFonts w:hint="eastAsia" w:ascii="楷体_GB2312" w:hAnsi="楷体_GB2312" w:eastAsia="楷体_GB2312" w:cs="楷体_GB2312"/>
          <w:sz w:val="32"/>
          <w:szCs w:val="32"/>
        </w:rPr>
        <w:t>成绩组成</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工业机器人操作调整工</w:t>
      </w:r>
      <w:r>
        <w:rPr>
          <w:rFonts w:hint="eastAsia" w:ascii="仿宋_GB2312" w:hAnsi="宋体" w:eastAsia="仿宋_GB2312" w:cs="仿宋"/>
          <w:kern w:val="0"/>
          <w:sz w:val="32"/>
          <w:szCs w:val="32"/>
        </w:rPr>
        <w:t>比赛由理论知识比赛和操作技能比赛两部分组成，总成绩由理论知识比赛和实际操作比赛成绩组成。其中，理论成绩100分，实际操作成绩100分。总成绩采取百分制，换算后理论成绩占总成绩的30%，操作技能占总成绩的70%。</w:t>
      </w:r>
      <w:r>
        <w:rPr>
          <w:rFonts w:hint="eastAsia" w:ascii="仿宋_GB2312" w:hAnsi="仿宋_GB2312" w:eastAsia="仿宋_GB2312" w:cs="仿宋_GB2312"/>
          <w:sz w:val="32"/>
          <w:szCs w:val="32"/>
        </w:rPr>
        <w:t>）</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理论知识比赛</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2.1试题类型</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（均为客观题，包括单项选择题、多项选择题、判断题三个类型。）</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2.2比赛时间</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（比赛时间为60分钟。）</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2.3比赛方式</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（采取闭卷考试的方式，在计算机上答卷。）</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2.4考核范围</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（主要明确理论知识考核的知识点和选手应具备的理论知识水平）</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4</w:t>
      </w:r>
      <w:r>
        <w:rPr>
          <w:rFonts w:hint="eastAsia" w:ascii="楷体_GB2312" w:hAnsi="楷体_GB2312" w:eastAsia="楷体_GB2312" w:cs="楷体_GB2312"/>
          <w:sz w:val="32"/>
          <w:szCs w:val="32"/>
        </w:rPr>
        <w:t>.</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基础知识</w:t>
      </w:r>
    </w:p>
    <w:p>
      <w:pPr>
        <w:pStyle w:val="5"/>
        <w:numPr>
          <w:ilvl w:val="0"/>
          <w:numId w:val="1"/>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常用电气元器件功能、结构、原理、作用。</w:t>
      </w:r>
    </w:p>
    <w:p>
      <w:pPr>
        <w:pStyle w:val="5"/>
        <w:numPr>
          <w:ilvl w:val="0"/>
          <w:numId w:val="1"/>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自动化生产单元中关节机器人工作原理、组成结构、控制信号、信息互联互通原理、系统控制。</w:t>
      </w:r>
    </w:p>
    <w:p>
      <w:pPr>
        <w:pStyle w:val="5"/>
        <w:numPr>
          <w:ilvl w:val="0"/>
          <w:numId w:val="1"/>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关节机器人的PLC程序读、识、写；机器人手持盒编程、录入示教点、应用场合等。</w:t>
      </w:r>
    </w:p>
    <w:p>
      <w:pPr>
        <w:pStyle w:val="5"/>
        <w:numPr>
          <w:ilvl w:val="0"/>
          <w:numId w:val="1"/>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关节机器人机械装配和电气控制等工程图纸的读、识、应用。</w:t>
      </w:r>
    </w:p>
    <w:p>
      <w:pPr>
        <w:pStyle w:val="5"/>
        <w:numPr>
          <w:ilvl w:val="0"/>
          <w:numId w:val="1"/>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关节机器人电气原理。</w:t>
      </w:r>
    </w:p>
    <w:p>
      <w:pPr>
        <w:pStyle w:val="5"/>
        <w:numPr>
          <w:ilvl w:val="0"/>
          <w:numId w:val="1"/>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常用电工量仪的使用、维护和保养知识。</w:t>
      </w:r>
    </w:p>
    <w:p>
      <w:pPr>
        <w:spacing w:line="58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4</w:t>
      </w:r>
      <w:r>
        <w:rPr>
          <w:rFonts w:hint="eastAsia" w:ascii="楷体_GB2312" w:hAnsi="楷体_GB2312" w:eastAsia="楷体_GB2312" w:cs="楷体_GB2312"/>
          <w:sz w:val="32"/>
          <w:szCs w:val="32"/>
        </w:rPr>
        <w:t>.2专业知识</w:t>
      </w:r>
    </w:p>
    <w:p>
      <w:pPr>
        <w:pStyle w:val="5"/>
        <w:numPr>
          <w:ilvl w:val="0"/>
          <w:numId w:val="2"/>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关节机器人机械装配、调试与维修知识。</w:t>
      </w:r>
    </w:p>
    <w:p>
      <w:pPr>
        <w:pStyle w:val="5"/>
        <w:numPr>
          <w:ilvl w:val="0"/>
          <w:numId w:val="2"/>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关节机器人电气装配、调试与维修知识。</w:t>
      </w:r>
    </w:p>
    <w:p>
      <w:pPr>
        <w:pStyle w:val="5"/>
        <w:numPr>
          <w:ilvl w:val="0"/>
          <w:numId w:val="2"/>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关节机器人的PLC程序读、识、写、功能调整知识。</w:t>
      </w:r>
    </w:p>
    <w:p>
      <w:pPr>
        <w:spacing w:line="58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4</w:t>
      </w:r>
      <w:r>
        <w:rPr>
          <w:rFonts w:hint="eastAsia" w:ascii="楷体_GB2312" w:hAnsi="楷体_GB2312" w:eastAsia="楷体_GB2312" w:cs="楷体_GB2312"/>
          <w:sz w:val="32"/>
          <w:szCs w:val="32"/>
        </w:rPr>
        <w:t>.3其他</w:t>
      </w:r>
    </w:p>
    <w:p>
      <w:pPr>
        <w:pStyle w:val="5"/>
        <w:numPr>
          <w:ilvl w:val="0"/>
          <w:numId w:val="3"/>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安全生产与环境保护知识。</w:t>
      </w:r>
    </w:p>
    <w:p>
      <w:pPr>
        <w:pStyle w:val="5"/>
        <w:numPr>
          <w:ilvl w:val="0"/>
          <w:numId w:val="3"/>
        </w:numPr>
        <w:spacing w:line="580"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职业道德与质量管理知识。</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2.5参考资料</w:t>
      </w:r>
    </w:p>
    <w:p>
      <w:pPr>
        <w:spacing w:line="360" w:lineRule="auto"/>
        <w:ind w:right="-185" w:rightChars="-88"/>
        <w:rPr>
          <w:rFonts w:ascii="仿宋_GB2312" w:hAnsi="宋体" w:eastAsia="仿宋_GB2312" w:cs="仿宋"/>
          <w:kern w:val="0"/>
          <w:sz w:val="32"/>
          <w:szCs w:val="32"/>
        </w:rPr>
      </w:pPr>
      <w:r>
        <w:rPr>
          <w:rFonts w:hint="eastAsia" w:ascii="仿宋_GB2312" w:hAnsi="宋体" w:eastAsia="仿宋_GB2312" w:cs="仿宋"/>
          <w:kern w:val="0"/>
          <w:sz w:val="32"/>
          <w:szCs w:val="32"/>
        </w:rPr>
        <w:t xml:space="preserve">    ①《</w:t>
      </w:r>
      <w:bookmarkStart w:id="0" w:name="_Hlk69876121"/>
      <w:r>
        <w:rPr>
          <w:rFonts w:hint="eastAsia" w:ascii="仿宋_GB2312" w:hAnsi="宋体" w:eastAsia="仿宋_GB2312" w:cs="仿宋"/>
          <w:kern w:val="0"/>
          <w:sz w:val="32"/>
          <w:szCs w:val="32"/>
        </w:rPr>
        <w:t>机械行业职业技能鉴定培训教材</w:t>
      </w:r>
      <w:bookmarkEnd w:id="0"/>
      <w:r>
        <w:rPr>
          <w:rFonts w:hint="eastAsia" w:ascii="仿宋_GB2312" w:hAnsi="宋体" w:eastAsia="仿宋_GB2312" w:cs="仿宋"/>
          <w:kern w:val="0"/>
          <w:sz w:val="32"/>
          <w:szCs w:val="32"/>
        </w:rPr>
        <w:t>》（工业机器人基础知识；书号：ISBN</w:t>
      </w:r>
      <w:r>
        <w:rPr>
          <w:sz w:val="32"/>
          <w:szCs w:val="32"/>
        </w:rPr>
        <w:t xml:space="preserve"> </w:t>
      </w:r>
      <w:r>
        <w:rPr>
          <w:rFonts w:ascii="仿宋_GB2312" w:hAnsi="宋体" w:eastAsia="仿宋_GB2312" w:cs="仿宋"/>
          <w:kern w:val="0"/>
          <w:sz w:val="32"/>
          <w:szCs w:val="32"/>
        </w:rPr>
        <w:t>978-7-111-65933-4</w:t>
      </w:r>
      <w:r>
        <w:rPr>
          <w:rFonts w:hint="eastAsia" w:ascii="仿宋_GB2312" w:hAnsi="宋体" w:eastAsia="仿宋_GB2312" w:cs="仿宋"/>
          <w:kern w:val="0"/>
          <w:sz w:val="32"/>
          <w:szCs w:val="32"/>
        </w:rPr>
        <w:t>）。</w:t>
      </w:r>
    </w:p>
    <w:p>
      <w:pPr>
        <w:spacing w:line="360" w:lineRule="auto"/>
        <w:ind w:right="-185" w:rightChars="-88"/>
        <w:rPr>
          <w:rFonts w:ascii="仿宋_GB2312" w:hAnsi="宋体" w:eastAsia="仿宋_GB2312" w:cs="仿宋"/>
          <w:kern w:val="0"/>
          <w:sz w:val="32"/>
          <w:szCs w:val="32"/>
        </w:rPr>
      </w:pPr>
      <w:r>
        <w:rPr>
          <w:rFonts w:hint="eastAsia" w:ascii="仿宋_GB2312" w:hAnsi="宋体" w:eastAsia="仿宋_GB2312" w:cs="仿宋"/>
          <w:kern w:val="0"/>
          <w:sz w:val="32"/>
          <w:szCs w:val="32"/>
        </w:rPr>
        <w:t xml:space="preserve">    ②《机械行业职业技能鉴定培训教材》（工业机器人操作调整工（中级、高级）；书号：ISBN</w:t>
      </w:r>
      <w:r>
        <w:rPr>
          <w:sz w:val="32"/>
          <w:szCs w:val="32"/>
        </w:rPr>
        <w:t xml:space="preserve"> </w:t>
      </w:r>
      <w:r>
        <w:rPr>
          <w:rFonts w:ascii="仿宋_GB2312" w:hAnsi="宋体" w:eastAsia="仿宋_GB2312" w:cs="仿宋"/>
          <w:kern w:val="0"/>
          <w:sz w:val="32"/>
          <w:szCs w:val="32"/>
        </w:rPr>
        <w:t>978-7-111-65426-1</w:t>
      </w:r>
      <w:r>
        <w:rPr>
          <w:rFonts w:hint="eastAsia" w:ascii="仿宋_GB2312" w:hAnsi="宋体" w:eastAsia="仿宋_GB2312" w:cs="仿宋"/>
          <w:kern w:val="0"/>
          <w:sz w:val="32"/>
          <w:szCs w:val="32"/>
        </w:rPr>
        <w:t>）。</w:t>
      </w:r>
    </w:p>
    <w:p>
      <w:pPr>
        <w:spacing w:line="580" w:lineRule="exact"/>
        <w:ind w:firstLine="640"/>
        <w:rPr>
          <w:rFonts w:ascii="仿宋_GB2312" w:hAnsi="宋体" w:eastAsia="仿宋_GB2312" w:cs="仿宋"/>
          <w:kern w:val="0"/>
          <w:sz w:val="32"/>
          <w:szCs w:val="32"/>
        </w:rPr>
      </w:pPr>
      <w:r>
        <w:rPr>
          <w:rFonts w:hint="eastAsia" w:ascii="仿宋_GB2312" w:hAnsi="宋体" w:eastAsia="仿宋_GB2312" w:cs="仿宋"/>
          <w:kern w:val="0"/>
          <w:sz w:val="32"/>
          <w:szCs w:val="32"/>
        </w:rPr>
        <w:t>③《机械行业职业技能鉴定培训教材》（工业机器人操作调整工（技师、高级技师）；书号：ISBN</w:t>
      </w:r>
      <w:r>
        <w:rPr>
          <w:sz w:val="32"/>
          <w:szCs w:val="32"/>
        </w:rPr>
        <w:t xml:space="preserve"> </w:t>
      </w:r>
      <w:r>
        <w:rPr>
          <w:rFonts w:ascii="仿宋_GB2312" w:hAnsi="宋体" w:eastAsia="仿宋_GB2312" w:cs="仿宋"/>
          <w:kern w:val="0"/>
          <w:sz w:val="32"/>
          <w:szCs w:val="32"/>
        </w:rPr>
        <w:t>978-7-111-66096-5</w:t>
      </w:r>
      <w:r>
        <w:rPr>
          <w:rFonts w:hint="eastAsia" w:ascii="仿宋_GB2312" w:hAnsi="宋体" w:eastAsia="仿宋_GB2312" w:cs="仿宋"/>
          <w:kern w:val="0"/>
          <w:sz w:val="32"/>
          <w:szCs w:val="32"/>
        </w:rPr>
        <w:t>）</w:t>
      </w:r>
    </w:p>
    <w:p>
      <w:pPr>
        <w:spacing w:line="580" w:lineRule="exac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2.6比赛规则</w:t>
      </w:r>
    </w:p>
    <w:p>
      <w:pPr>
        <w:spacing w:line="580" w:lineRule="exact"/>
        <w:ind w:firstLine="640"/>
        <w:rPr>
          <w:rFonts w:ascii="仿宋_GB2312" w:hAnsi="宋体" w:eastAsia="仿宋_GB2312" w:cs="仿宋"/>
          <w:kern w:val="0"/>
          <w:sz w:val="32"/>
          <w:szCs w:val="32"/>
        </w:rPr>
      </w:pPr>
      <w:r>
        <w:rPr>
          <w:rFonts w:hint="eastAsia" w:ascii="仿宋_GB2312" w:hAnsi="宋体" w:eastAsia="仿宋_GB2312" w:cs="仿宋"/>
          <w:kern w:val="0"/>
          <w:sz w:val="32"/>
          <w:szCs w:val="32"/>
        </w:rPr>
        <w:t>（主要明确理论考试有关要求及注意事项。）</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 xml:space="preserve">（1）参赛选手需提前15分钟进入考场，开考后迟到15分钟及以上者不可进入考场。选手按参赛号对号入座，并将参赛证和身份证置于桌上，供监考人员核对。 </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 xml:space="preserve">（2）参赛选手除携带身份证件外，不准携带任何与竞赛有关书刊、纸条等资料和物品进入考场。所有通讯工具一律不得带入竞赛现场。 </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 xml:space="preserve">（3）选手在正式开考30分钟后方可离开考场，否则按0分处理。 </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 xml:space="preserve">（4）选手在竞赛过程中不得擅自离开考场，如有特殊情况，需经监考人员同意后作特殊处理。 </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 xml:space="preserve">（5）参赛选手在理论竞赛过程中，如遇问题需举手向监考人员提问，选手之间互相询问按作弊行为处理。 </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 xml:space="preserve">（6）参赛选手应严格遵守考场纪律，服从监考人员安排和管理。 </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 xml:space="preserve">（7）距离考试结束时间还有30分钟和10分钟时，监考人员分别作一次口头提醒。监考人员宣布竞赛结束时，选手应立即停止答题，提交试卷。 </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（8）严禁作弊，如发现弄虚作假、冒名顶替者一律按0分计算，并取消后续参赛资格。</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实际操作比赛</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3.1比赛项目</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实际操作竞赛以考核工业机器人系统操作、调整应用技能为主，包括仪器仪表使用及安全文明生产在实际操作竞赛过程中的考查。</w:t>
      </w:r>
    </w:p>
    <w:p>
      <w:pPr>
        <w:spacing w:line="580" w:lineRule="exact"/>
        <w:rPr>
          <w:rFonts w:ascii="仿宋_GB2312" w:hAnsi="宋体" w:eastAsia="仿宋_GB2312" w:cs="仿宋"/>
          <w:kern w:val="0"/>
          <w:sz w:val="32"/>
          <w:szCs w:val="32"/>
        </w:rPr>
      </w:pPr>
      <w:r>
        <w:rPr>
          <w:rFonts w:hint="eastAsia" w:ascii="楷体_GB2312" w:hAnsi="楷体_GB2312" w:eastAsia="楷体_GB2312" w:cs="楷体_GB2312"/>
          <w:sz w:val="32"/>
          <w:szCs w:val="32"/>
        </w:rPr>
        <w:t>3.2比赛时间</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实操比赛时间为180分钟，分两阶段进行。第一阶段120分钟完成工业机器人设备安装、工作站编程、调试与优化任务；第二阶段60分钟，根据任务书要求，利用现场提供的设备，按照国家职业标准和安全生产规范，完成铣削试件的加工。</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3.3技术要求</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（竞赛范围与内容）</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为全面考查参赛选手的职业综合素质和技术技能水平，实际技能操作竞赛包括机械电气系统安装、基于工业机器人的典型应用、仪器仪表使用和安全文明生产五大部分。</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实际操作部分由参赛选手按工作任务书的要求完成机器人工作站的装配、编程调试及优化调试任务，具体包含以下工作任务：</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1）工业机器人设备安装：根据任务书给定的任务要求选手进行任务分析，完成工业机器人工作站机械电气系统安装。</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2）基于工业机器人的典型应用：根据任务书给定的任务要求，选手进行任务分析，编写动作流程，对工业机器人进行参数设定、程序编写（计算机离线编程或示教编程）、操作调试、与外部设备通信应用等。</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3）工作效率考核：对任务书要求完成的任务，进行工作效率的提升及流程优化。</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4）工作质量考核：对任务书要求完成的任务，提高成品合格率。</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3.4操作规则</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3.4.1赛场规则</w:t>
      </w:r>
    </w:p>
    <w:p>
      <w:pPr>
        <w:spacing w:line="580" w:lineRule="exact"/>
        <w:rPr>
          <w:rFonts w:ascii="仿宋_GB2312" w:hAnsi="宋体" w:eastAsia="仿宋_GB2312" w:cs="仿宋"/>
          <w:kern w:val="0"/>
          <w:sz w:val="32"/>
          <w:szCs w:val="32"/>
        </w:rPr>
      </w:pPr>
      <w:r>
        <w:rPr>
          <w:rFonts w:hint="eastAsia" w:ascii="仿宋_GB2312" w:hAnsi="宋体" w:eastAsia="仿宋_GB2312" w:cs="仿宋"/>
          <w:kern w:val="0"/>
          <w:sz w:val="32"/>
          <w:szCs w:val="32"/>
        </w:rPr>
        <w:t>（1）参赛选手有下列情节之一的，取消参赛资格，比赛成绩计零分</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1）在赛场内交换、借用他人工具、仪表</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2）不按规定填写姓名、编号或在试卷上作各种标记</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3）在赛场内有偷看、暗示、交头接耳等作弊行为</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4）在赛场使用通讯工具与他人联系</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5）在规定的比赛时间结束后，仍强行操作</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6）不服从裁判员的裁决，扰乱比武秩序，影响比武过程，情节恶劣</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7）其他违反比赛规则的不听劝告者</w:t>
      </w:r>
    </w:p>
    <w:p>
      <w:pPr>
        <w:spacing w:line="580" w:lineRule="exact"/>
        <w:rPr>
          <w:rFonts w:ascii="仿宋_GB2312" w:hAnsi="宋体" w:eastAsia="仿宋_GB2312" w:cs="仿宋"/>
          <w:kern w:val="0"/>
          <w:sz w:val="32"/>
          <w:szCs w:val="32"/>
        </w:rPr>
      </w:pPr>
      <w:r>
        <w:rPr>
          <w:rFonts w:hint="eastAsia" w:ascii="仿宋_GB2312" w:hAnsi="宋体" w:eastAsia="仿宋_GB2312" w:cs="仿宋"/>
          <w:kern w:val="0"/>
          <w:sz w:val="32"/>
          <w:szCs w:val="32"/>
        </w:rPr>
        <w:t>（2）选手未能按规定正确使用仪器设备，由在场裁判员及时予以纠正，并按规定扣除比武成绩，严重者，将停止比赛。</w:t>
      </w:r>
    </w:p>
    <w:p>
      <w:pPr>
        <w:spacing w:line="580" w:lineRule="exact"/>
        <w:rPr>
          <w:rFonts w:ascii="仿宋_GB2312" w:hAnsi="宋体" w:eastAsia="仿宋_GB2312" w:cs="仿宋"/>
          <w:kern w:val="0"/>
          <w:sz w:val="32"/>
          <w:szCs w:val="32"/>
        </w:rPr>
      </w:pPr>
      <w:r>
        <w:rPr>
          <w:rFonts w:hint="eastAsia" w:ascii="仿宋_GB2312" w:hAnsi="宋体" w:eastAsia="仿宋_GB2312" w:cs="仿宋"/>
          <w:kern w:val="0"/>
          <w:sz w:val="32"/>
          <w:szCs w:val="32"/>
        </w:rPr>
        <w:t>（3）非比赛工作人员、非参赛选手一律不得进入比赛场地，对不听劝阻、无理取闹者追究责任，并通报批评。</w:t>
      </w:r>
    </w:p>
    <w:p>
      <w:pPr>
        <w:spacing w:line="580" w:lineRule="exact"/>
        <w:rPr>
          <w:rFonts w:ascii="仿宋_GB2312" w:hAnsi="宋体" w:eastAsia="仿宋_GB2312" w:cs="仿宋"/>
          <w:kern w:val="0"/>
          <w:sz w:val="32"/>
          <w:szCs w:val="32"/>
        </w:rPr>
      </w:pPr>
      <w:r>
        <w:rPr>
          <w:rFonts w:hint="eastAsia" w:ascii="仿宋_GB2312" w:hAnsi="宋体" w:eastAsia="仿宋_GB2312" w:cs="仿宋"/>
          <w:kern w:val="0"/>
          <w:sz w:val="32"/>
          <w:szCs w:val="32"/>
        </w:rPr>
        <w:t>（4）对裁判员、其他工作人员违反工作守则，经核实后视情节轻重予以警告处分或取消其任职资格。</w:t>
      </w:r>
    </w:p>
    <w:p>
      <w:pPr>
        <w:spacing w:line="580" w:lineRule="exact"/>
        <w:rPr>
          <w:rFonts w:ascii="仿宋_GB2312" w:hAnsi="宋体" w:eastAsia="仿宋_GB2312" w:cs="仿宋"/>
          <w:kern w:val="0"/>
          <w:sz w:val="32"/>
          <w:szCs w:val="32"/>
        </w:rPr>
      </w:pPr>
      <w:r>
        <w:rPr>
          <w:rFonts w:hint="eastAsia" w:ascii="仿宋_GB2312" w:hAnsi="宋体" w:eastAsia="仿宋_GB2312" w:cs="仿宋"/>
          <w:kern w:val="0"/>
          <w:sz w:val="32"/>
          <w:szCs w:val="32"/>
        </w:rPr>
        <w:t>（5）对违反比赛各种纪律的参赛选手及所在代表队和单位，视情节轻重、后果影响、予以取消比赛评奖资格或通报批评。</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3.4.2参赛选手须知</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（1） 参赛选手应持参赛证、身份证，按竞赛顺序、场次和竞赛时间，提前30分钟到竞赛项目指定地点接受检录、抽签决定竞赛工位号等。</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（2）参赛选手着装符合安全生产规定须知。</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（3）赛场禁用一切现场提供的设备之外的电子设备，如手机、计算器、多功能手表、USB盘及存储卡等，比赛期间不得离开规定的赛场区域。</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（4）检录后的选手，应在工作人员的引导下，提前15分钟到达竞赛现场，从竞赛计时开始，选手未到者即取消该项目的参赛资格。</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（5）严格遵守本次技术比赛制定的各项比赛规则和技术要求。尊重裁判和赛场工作人员，自觉遵守赛场纪律和秩序，服从裁判、听从指挥。</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（6）裁判长宣布比赛开始，参赛选手方可进行操作，比赛开始计时。</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（7）比赛过程中，参赛选手若需休息、饮水或去洗手间，一律计算在比赛时间内。</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（8）因设备故障原因导致参赛选手中断或终止比赛，由大赛裁判长视具体情况做出处理决定。</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（9）比赛过程中，因参赛选手违规操作和工艺制定不当，对工业机器人及平台、机床、夹具造成损坏，经裁判员判定，视情节轻重，做扣分直至终止比赛的处理，并承担相应的赔偿。</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w:t>
      </w:r>
      <w:r>
        <w:rPr>
          <w:rFonts w:ascii="仿宋_GB2312" w:hAnsi="宋体" w:eastAsia="仿宋_GB2312" w:cs="仿宋"/>
          <w:kern w:val="0"/>
          <w:sz w:val="32"/>
          <w:szCs w:val="32"/>
        </w:rPr>
        <w:t>10</w:t>
      </w:r>
      <w:r>
        <w:rPr>
          <w:rFonts w:hint="eastAsia" w:ascii="仿宋_GB2312" w:hAnsi="宋体" w:eastAsia="仿宋_GB2312" w:cs="仿宋"/>
          <w:kern w:val="0"/>
          <w:sz w:val="32"/>
          <w:szCs w:val="32"/>
        </w:rPr>
        <w:t>）如果参赛选手提前结束比赛，应举手向裁判员示意提前结束加工。比赛终止时间由裁判员记录在案，参赛选手提前结束比赛后不得再进行任何加工，未经允许不得离开赛场。</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w:t>
      </w:r>
      <w:r>
        <w:rPr>
          <w:rFonts w:ascii="仿宋_GB2312" w:hAnsi="宋体" w:eastAsia="仿宋_GB2312" w:cs="仿宋"/>
          <w:kern w:val="0"/>
          <w:sz w:val="32"/>
          <w:szCs w:val="32"/>
        </w:rPr>
        <w:t>11</w:t>
      </w:r>
      <w:r>
        <w:rPr>
          <w:rFonts w:hint="eastAsia" w:ascii="仿宋_GB2312" w:hAnsi="宋体" w:eastAsia="仿宋_GB2312" w:cs="仿宋"/>
          <w:kern w:val="0"/>
          <w:sz w:val="32"/>
          <w:szCs w:val="32"/>
        </w:rPr>
        <w:t>）参赛选手在提交试件时应进行必要的清理，提交后裁判员在零件的指定位置做好标记，并经参赛选手在登记簿上签字确认，以便检验和评分。</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w:t>
      </w:r>
      <w:r>
        <w:rPr>
          <w:rFonts w:ascii="仿宋_GB2312" w:hAnsi="宋体" w:eastAsia="仿宋_GB2312" w:cs="仿宋"/>
          <w:kern w:val="0"/>
          <w:sz w:val="32"/>
          <w:szCs w:val="32"/>
        </w:rPr>
        <w:t>12</w:t>
      </w:r>
      <w:r>
        <w:rPr>
          <w:rFonts w:hint="eastAsia" w:ascii="仿宋_GB2312" w:hAnsi="宋体" w:eastAsia="仿宋_GB2312" w:cs="仿宋"/>
          <w:kern w:val="0"/>
          <w:sz w:val="32"/>
          <w:szCs w:val="32"/>
        </w:rPr>
        <w:t>）参赛选手不得将赛项任务书、图纸、草稿纸等与比赛有关的物品带离赛场。</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w:t>
      </w:r>
      <w:r>
        <w:rPr>
          <w:rFonts w:ascii="仿宋_GB2312" w:hAnsi="宋体" w:eastAsia="仿宋_GB2312" w:cs="仿宋"/>
          <w:kern w:val="0"/>
          <w:sz w:val="32"/>
          <w:szCs w:val="32"/>
        </w:rPr>
        <w:t>13</w:t>
      </w:r>
      <w:r>
        <w:rPr>
          <w:rFonts w:hint="eastAsia" w:ascii="仿宋_GB2312" w:hAnsi="宋体" w:eastAsia="仿宋_GB2312" w:cs="仿宋"/>
          <w:kern w:val="0"/>
          <w:sz w:val="32"/>
          <w:szCs w:val="32"/>
        </w:rPr>
        <w:t>）比赛结束后，离场前按要求清理工位。统一到指定休息区域等候调试打分，必须经现场裁判员检查许可后方能离开赛场。</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3.4.3裁判工作守则</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（1）裁判长</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1）比赛前，对场地，器材，比赛日程及裁判员的分配等做好检查和安排工作；组织裁判员学习规则并进行考核。</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2）组织和领导比赛裁判工作。必要时可临时调整裁判员的工作。</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3）掌握比赛进程，根据规则解决比赛中有关问题。</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4）有权提出警告，技术犯规，取消犯规比赛选手的比赛资格和录取资格，并处理比赛中提出的各种疑难问题。</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5）检查和督促分管的裁判员工作。</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（2）裁判员</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1）每位实操裁判员必须在考前20分钟进入赛场，带领比赛选手进入指定工位，并核查选手参赛证。</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2）裁判员与参赛选手进行有关工作方面的必要联系外，一律不得与参赛选手交谈，不得干扰参赛选手的正常操作。</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3）参赛选手在操作过程中出现重大失误的，裁判员报经裁判长同意，可以立即停止其现场操作。</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4）在工作中，若遇突发事件和有争议的问题时，应及时报告裁判长。</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5）如发现选手违反赛场纪律，应立即停止该选手的比赛，并及时报请裁判长，建议取消该选手的参赛资格，并将选手带离考场。</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3.4.4工作人员守则</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（1）比赛前，对场地，器材，比赛日程及工作人员的分配</w:t>
      </w:r>
      <w:r>
        <w:rPr>
          <w:rFonts w:hint="eastAsia" w:ascii="仿宋_GB2312" w:hAnsi="宋体" w:eastAsia="仿宋_GB2312" w:cs="仿宋"/>
          <w:spacing w:val="-6"/>
          <w:kern w:val="0"/>
          <w:sz w:val="32"/>
          <w:szCs w:val="32"/>
        </w:rPr>
        <w:t>等做好检查和安排工作；组织工作人员学习比赛规则并进行考核。</w:t>
      </w:r>
    </w:p>
    <w:p>
      <w:pPr>
        <w:spacing w:line="580" w:lineRule="exact"/>
        <w:ind w:firstLine="616" w:firstLineChars="200"/>
        <w:rPr>
          <w:rFonts w:ascii="仿宋_GB2312" w:hAnsi="宋体" w:eastAsia="仿宋_GB2312" w:cs="仿宋"/>
          <w:spacing w:val="-6"/>
          <w:kern w:val="0"/>
          <w:sz w:val="32"/>
          <w:szCs w:val="32"/>
        </w:rPr>
      </w:pPr>
      <w:r>
        <w:rPr>
          <w:rFonts w:hint="eastAsia" w:ascii="仿宋_GB2312" w:hAnsi="宋体" w:eastAsia="仿宋_GB2312" w:cs="仿宋"/>
          <w:spacing w:val="-6"/>
          <w:kern w:val="0"/>
          <w:sz w:val="32"/>
          <w:szCs w:val="32"/>
        </w:rPr>
        <w:t>（2）组织比赛现场工作。必要时可临时调整工作人员的工作。</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（3）掌握技术比赛进程，及时协助裁判员解决比赛中有关问题。</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（4）检查和督促分管的工作人员工作。</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（5）比赛结束后，组织工作人员对比赛场地物品的清点。</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（6）必须在考前20分钟进入赛场，协助裁判员做好工具的清点与核查工作。</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（7）协助裁判员，注意参赛选手安全操作工业机器人等。</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（8）协助完成比赛场地现场的秩序。</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（9）负责比赛场地的清理工作。</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3.5评判规则</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（1）基本评定方法</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裁判组在坚持“公平、公正、公开、科学、规范”的原则下，各负其责，按照制订的评分细则进行评分。</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现场评分：裁判组在比赛过程中对参赛选手的安全文明生产以及系统安装调试情况进行观察和评价进行现场评分。</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结果评分：比赛结束后，裁判组根据参赛选手提交的比赛结果进行评分。</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成绩汇总：实操比赛成绩经过加密裁判组解密后与选手理论成绩进行加权计算，确定最终比赛成绩，经总裁判长审核、仲裁组长复核后签字确认。</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（2）相同成绩处理</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总成绩相同时，以实操总成绩得分高的名次在前；总成绩和实操比赛总成绩相同时，系统工作运行效率得分高的名次在前；总成绩、实操比赛总成绩和运行效率也相同时，完成工作任务所用时间少的名次在前；总成绩、实操比赛总成绩、运行效率和完成工作任务用时均相同时，工业机器人动作控制设计得分高的名次在前；总成绩、实操比赛总成绩、运行效率、完成工作任务用时、工业机器人动作控制设计得分，职业素养与安全意识项成绩高的名次在前。</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（3）评分细则(评分指标)</w:t>
      </w:r>
    </w:p>
    <w:tbl>
      <w:tblPr>
        <w:tblStyle w:val="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一级指标</w:t>
            </w: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restart"/>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工业机器人设备安装（10分）</w:t>
            </w: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机械部件安装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continue"/>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电气线路连接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continue"/>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气动回路搭建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restart"/>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基于工业机器人系统应用的编程及调试（60分）</w:t>
            </w: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工业机器人工具坐标系建立与应用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continue"/>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工业机器人工件坐标系建立与应用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continue"/>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工业机器人程序编写与定位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工业机器人与外部设备通信应用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restart"/>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生产运行效率及工作质量（10分）</w:t>
            </w: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生产运行效率及稳定性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continue"/>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restart"/>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安全意识（10分）（在竞赛过程中考核）</w:t>
            </w: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防护用具使用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continue"/>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场地整洁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continue"/>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p>
        </w:tc>
        <w:tc>
          <w:tcPr>
            <w:tcW w:w="4531"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hint="eastAsia" w:ascii="ArialUnicodeMS" w:eastAsia="ArialUnicodeMS" w:cs="ArialUnicodeMS"/>
                <w:kern w:val="0"/>
                <w:sz w:val="32"/>
                <w:szCs w:val="32"/>
              </w:rPr>
            </w:pPr>
            <w:r>
              <w:rPr>
                <w:rFonts w:hint="eastAsia" w:ascii="ArialUnicodeMS" w:eastAsia="ArialUnicodeMS" w:cs="ArialUnicodeMS"/>
                <w:kern w:val="0"/>
                <w:sz w:val="32"/>
                <w:szCs w:val="32"/>
              </w:rPr>
              <w:t>机器人安全操作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outlineLvl w:val="9"/>
              <w:rPr>
                <w:rFonts w:ascii="ArialUnicodeMS" w:eastAsia="ArialUnicodeMS" w:cs="ArialUnicodeMS"/>
                <w:kern w:val="0"/>
                <w:sz w:val="32"/>
                <w:szCs w:val="32"/>
              </w:rPr>
            </w:pPr>
            <w:r>
              <w:rPr>
                <w:rFonts w:hint="eastAsia" w:ascii="ArialUnicodeMS" w:eastAsia="ArialUnicodeMS" w:cs="ArialUnicodeMS"/>
                <w:kern w:val="0"/>
                <w:sz w:val="32"/>
                <w:szCs w:val="32"/>
              </w:rPr>
              <w:t>职业技能及素养（10分）（在竞赛过程中考核）</w:t>
            </w:r>
          </w:p>
        </w:tc>
        <w:tc>
          <w:tcPr>
            <w:tcW w:w="4531" w:type="dxa"/>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left"/>
              <w:textAlignment w:val="auto"/>
              <w:outlineLvl w:val="9"/>
              <w:rPr>
                <w:rFonts w:ascii="ArialUnicodeMS" w:eastAsia="ArialUnicodeMS" w:cs="ArialUnicodeMS"/>
                <w:kern w:val="0"/>
                <w:sz w:val="32"/>
                <w:szCs w:val="32"/>
              </w:rPr>
            </w:pPr>
            <w:r>
              <w:rPr>
                <w:rFonts w:hint="eastAsia" w:ascii="ArialUnicodeMS" w:eastAsia="ArialUnicodeMS" w:cs="ArialUnicodeMS"/>
                <w:kern w:val="0"/>
                <w:sz w:val="32"/>
                <w:szCs w:val="32"/>
              </w:rPr>
              <w:t>工具的正确选择与使用、职业道德、职业规范、职业行为和职业意识</w:t>
            </w:r>
          </w:p>
        </w:tc>
      </w:tr>
    </w:tbl>
    <w:p>
      <w:pPr>
        <w:spacing w:line="580" w:lineRule="exact"/>
        <w:ind w:firstLine="320" w:firstLineChars="100"/>
        <w:rPr>
          <w:rFonts w:ascii="仿宋_GB2312" w:hAnsi="宋体" w:eastAsia="仿宋_GB2312" w:cs="仿宋"/>
          <w:kern w:val="0"/>
          <w:sz w:val="32"/>
          <w:szCs w:val="32"/>
        </w:rPr>
      </w:pPr>
      <w:r>
        <w:rPr>
          <w:rFonts w:hint="eastAsia" w:ascii="仿宋_GB2312" w:hAnsi="宋体" w:eastAsia="仿宋_GB2312" w:cs="仿宋"/>
          <w:kern w:val="0"/>
          <w:sz w:val="32"/>
          <w:szCs w:val="32"/>
        </w:rPr>
        <w:t>（4）评分方式</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1）完全采用客观化评分，评分项内无主观分值；</w:t>
      </w:r>
    </w:p>
    <w:p>
      <w:pPr>
        <w:spacing w:line="58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2）按照客观的任务动作表现形式进行客观评分，无动作表现者均不得分。</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3.6比赛技术平台</w:t>
      </w:r>
    </w:p>
    <w:p>
      <w:pPr>
        <w:spacing w:line="580" w:lineRule="exact"/>
        <w:ind w:firstLine="648"/>
        <w:rPr>
          <w:rFonts w:ascii="仿宋_GB2312" w:hAnsi="宋体" w:eastAsia="仿宋_GB2312" w:cs="仿宋"/>
          <w:kern w:val="0"/>
          <w:sz w:val="32"/>
          <w:szCs w:val="32"/>
        </w:rPr>
      </w:pPr>
      <w:r>
        <w:rPr>
          <w:rFonts w:hint="eastAsia" w:ascii="仿宋_GB2312" w:hAnsi="宋体" w:eastAsia="仿宋_GB2312" w:cs="仿宋"/>
          <w:kern w:val="0"/>
          <w:sz w:val="32"/>
          <w:szCs w:val="32"/>
        </w:rPr>
        <w:t>（主要明确比赛场地所有使用设备（器材）的名称、型号、生产厂家、技术参数、系统名称等内容。）</w:t>
      </w: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ascii="楷体_GB2312" w:hAnsi="楷体_GB2312" w:eastAsia="楷体_GB2312" w:cs="楷体_GB2312"/>
          <w:sz w:val="32"/>
          <w:szCs w:val="32"/>
        </w:rPr>
        <w:t>.6.1</w:t>
      </w:r>
      <w:r>
        <w:rPr>
          <w:rFonts w:hint="eastAsia" w:ascii="楷体_GB2312" w:hAnsi="楷体_GB2312" w:eastAsia="楷体_GB2312" w:cs="楷体_GB2312"/>
          <w:sz w:val="32"/>
          <w:szCs w:val="32"/>
        </w:rPr>
        <w:t>工业机器人平台</w:t>
      </w:r>
    </w:p>
    <w:p>
      <w:pPr>
        <w:spacing w:line="580" w:lineRule="exact"/>
        <w:ind w:firstLine="648"/>
        <w:rPr>
          <w:rFonts w:ascii="仿宋_GB2312" w:hAnsi="宋体" w:eastAsia="仿宋_GB2312" w:cs="仿宋"/>
          <w:kern w:val="0"/>
          <w:sz w:val="32"/>
          <w:szCs w:val="32"/>
        </w:rPr>
      </w:pPr>
      <w:r>
        <w:rPr>
          <w:sz w:val="32"/>
          <w:szCs w:val="32"/>
        </w:rPr>
        <w:drawing>
          <wp:anchor distT="0" distB="0" distL="114300" distR="114300" simplePos="0" relativeHeight="251660288" behindDoc="1" locked="0" layoutInCell="1" allowOverlap="1">
            <wp:simplePos x="0" y="0"/>
            <wp:positionH relativeFrom="column">
              <wp:posOffset>81915</wp:posOffset>
            </wp:positionH>
            <wp:positionV relativeFrom="paragraph">
              <wp:posOffset>6985</wp:posOffset>
            </wp:positionV>
            <wp:extent cx="5585460" cy="3634740"/>
            <wp:effectExtent l="0" t="0" r="15240" b="3810"/>
            <wp:wrapThrough wrapText="bothSides">
              <wp:wrapPolygon>
                <wp:start x="0" y="0"/>
                <wp:lineTo x="0" y="21509"/>
                <wp:lineTo x="21512" y="21509"/>
                <wp:lineTo x="21512"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585460" cy="3634740"/>
                    </a:xfrm>
                    <a:prstGeom prst="rect">
                      <a:avLst/>
                    </a:prstGeom>
                    <a:noFill/>
                    <a:ln>
                      <a:noFill/>
                    </a:ln>
                  </pic:spPr>
                </pic:pic>
              </a:graphicData>
            </a:graphic>
          </wp:anchor>
        </w:drawing>
      </w:r>
      <w:r>
        <w:rPr>
          <w:rFonts w:hint="eastAsia" w:ascii="仿宋_GB2312" w:hAnsi="宋体" w:eastAsia="仿宋_GB2312" w:cs="仿宋"/>
          <w:kern w:val="0"/>
          <w:sz w:val="32"/>
          <w:szCs w:val="32"/>
        </w:rPr>
        <w:t>型号：</w:t>
      </w:r>
      <w:r>
        <w:rPr>
          <w:rFonts w:ascii="仿宋_GB2312" w:hAnsi="宋体" w:eastAsia="仿宋_GB2312" w:cs="仿宋"/>
          <w:kern w:val="0"/>
          <w:sz w:val="32"/>
          <w:szCs w:val="32"/>
        </w:rPr>
        <w:t>SYRT-CY10</w:t>
      </w:r>
    </w:p>
    <w:p>
      <w:pPr>
        <w:spacing w:line="580" w:lineRule="exact"/>
        <w:ind w:firstLine="648"/>
        <w:rPr>
          <w:rFonts w:ascii="仿宋_GB2312" w:hAnsi="宋体" w:eastAsia="仿宋_GB2312" w:cs="仿宋"/>
          <w:kern w:val="0"/>
          <w:sz w:val="32"/>
          <w:szCs w:val="32"/>
        </w:rPr>
      </w:pPr>
      <w:r>
        <w:rPr>
          <w:rFonts w:hint="eastAsia" w:ascii="仿宋_GB2312" w:hAnsi="宋体" w:eastAsia="仿宋_GB2312" w:cs="仿宋"/>
          <w:kern w:val="0"/>
          <w:sz w:val="32"/>
          <w:szCs w:val="32"/>
        </w:rPr>
        <w:t>生产厂家：双元职教（北京）科技有限公司</w:t>
      </w:r>
    </w:p>
    <w:p>
      <w:pPr>
        <w:spacing w:line="580" w:lineRule="exact"/>
        <w:ind w:firstLine="648"/>
        <w:rPr>
          <w:rFonts w:ascii="仿宋_GB2312" w:hAnsi="宋体" w:eastAsia="仿宋_GB2312" w:cs="仿宋"/>
          <w:kern w:val="0"/>
          <w:sz w:val="32"/>
          <w:szCs w:val="32"/>
        </w:rPr>
      </w:pPr>
      <w:r>
        <w:rPr>
          <w:rFonts w:hint="eastAsia" w:ascii="仿宋_GB2312" w:hAnsi="宋体" w:eastAsia="仿宋_GB2312" w:cs="仿宋"/>
          <w:kern w:val="0"/>
          <w:sz w:val="32"/>
          <w:szCs w:val="32"/>
        </w:rPr>
        <w:t>技术参数：</w:t>
      </w:r>
    </w:p>
    <w:tbl>
      <w:tblPr>
        <w:tblStyle w:val="6"/>
        <w:tblW w:w="7736" w:type="dxa"/>
        <w:jc w:val="center"/>
        <w:tblInd w:w="0" w:type="dxa"/>
        <w:tblLayout w:type="fixed"/>
        <w:tblCellMar>
          <w:top w:w="0" w:type="dxa"/>
          <w:left w:w="0" w:type="dxa"/>
          <w:bottom w:w="0" w:type="dxa"/>
          <w:right w:w="0" w:type="dxa"/>
        </w:tblCellMar>
      </w:tblPr>
      <w:tblGrid>
        <w:gridCol w:w="755"/>
        <w:gridCol w:w="2569"/>
        <w:gridCol w:w="1778"/>
        <w:gridCol w:w="2634"/>
      </w:tblGrid>
      <w:tr>
        <w:tblPrEx>
          <w:tblLayout w:type="fixed"/>
          <w:tblCellMar>
            <w:top w:w="0" w:type="dxa"/>
            <w:left w:w="0" w:type="dxa"/>
            <w:bottom w:w="0" w:type="dxa"/>
            <w:right w:w="0" w:type="dxa"/>
          </w:tblCellMar>
        </w:tblPrEx>
        <w:trPr>
          <w:trHeight w:val="510" w:hRule="exact"/>
          <w:jc w:val="center"/>
        </w:trPr>
        <w:tc>
          <w:tcPr>
            <w:tcW w:w="755"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序号</w:t>
            </w:r>
          </w:p>
        </w:tc>
        <w:tc>
          <w:tcPr>
            <w:tcW w:w="4347" w:type="dxa"/>
            <w:gridSpan w:val="2"/>
            <w:tcBorders>
              <w:top w:val="single" w:color="000000" w:sz="12"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项目</w:t>
            </w:r>
          </w:p>
        </w:tc>
        <w:tc>
          <w:tcPr>
            <w:tcW w:w="2634" w:type="dxa"/>
            <w:tcBorders>
              <w:top w:val="single" w:color="000000" w:sz="12"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规格参数</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w:t>
            </w:r>
          </w:p>
        </w:tc>
        <w:tc>
          <w:tcPr>
            <w:tcW w:w="4347"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六轴工业机器人型号</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ER-4iA</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2</w:t>
            </w:r>
          </w:p>
        </w:tc>
        <w:tc>
          <w:tcPr>
            <w:tcW w:w="4347"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负载能力</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4kg</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3</w:t>
            </w:r>
          </w:p>
        </w:tc>
        <w:tc>
          <w:tcPr>
            <w:tcW w:w="4347"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自由度</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6</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4</w:t>
            </w:r>
          </w:p>
        </w:tc>
        <w:tc>
          <w:tcPr>
            <w:tcW w:w="4347"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防护等级</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IP30</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5</w:t>
            </w:r>
          </w:p>
        </w:tc>
        <w:tc>
          <w:tcPr>
            <w:tcW w:w="4347"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重复定位精度</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0.02mm</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6</w:t>
            </w:r>
          </w:p>
        </w:tc>
        <w:tc>
          <w:tcPr>
            <w:tcW w:w="2569" w:type="dxa"/>
            <w:vMerge w:val="restart"/>
            <w:tcBorders>
              <w:top w:val="single" w:color="000000" w:sz="6" w:space="0"/>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最大动作范围</w:t>
            </w: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J1 轴旋转</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340°/360°</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7</w:t>
            </w:r>
          </w:p>
        </w:tc>
        <w:tc>
          <w:tcPr>
            <w:tcW w:w="2569"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J2 轴手臂</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230°</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8</w:t>
            </w:r>
          </w:p>
        </w:tc>
        <w:tc>
          <w:tcPr>
            <w:tcW w:w="2569"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J3 轴手臂</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402°</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9</w:t>
            </w:r>
          </w:p>
        </w:tc>
        <w:tc>
          <w:tcPr>
            <w:tcW w:w="2569"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J4 轴手腕</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380°</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10</w:t>
            </w:r>
          </w:p>
        </w:tc>
        <w:tc>
          <w:tcPr>
            <w:tcW w:w="2569"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J5 轴弯曲</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240°</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11</w:t>
            </w:r>
          </w:p>
        </w:tc>
        <w:tc>
          <w:tcPr>
            <w:tcW w:w="2569"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J6 轴翻转</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720°</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12</w:t>
            </w:r>
          </w:p>
        </w:tc>
        <w:tc>
          <w:tcPr>
            <w:tcW w:w="2569" w:type="dxa"/>
            <w:vMerge w:val="restart"/>
            <w:tcBorders>
              <w:top w:val="single" w:color="000000" w:sz="6" w:space="0"/>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最大动作速度</w:t>
            </w: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J1 轴臂旋转</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460°/s</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13</w:t>
            </w:r>
          </w:p>
        </w:tc>
        <w:tc>
          <w:tcPr>
            <w:tcW w:w="2569"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J2 轴臂前后</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460°/s</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14</w:t>
            </w:r>
          </w:p>
        </w:tc>
        <w:tc>
          <w:tcPr>
            <w:tcW w:w="2569"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J3 轴臂上下</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520°/s</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15</w:t>
            </w:r>
          </w:p>
        </w:tc>
        <w:tc>
          <w:tcPr>
            <w:tcW w:w="2569"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J4 轴腕旋转</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560°/s</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16</w:t>
            </w:r>
          </w:p>
        </w:tc>
        <w:tc>
          <w:tcPr>
            <w:tcW w:w="2569"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J5 轴腕弯曲</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560°/s</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17</w:t>
            </w:r>
          </w:p>
        </w:tc>
        <w:tc>
          <w:tcPr>
            <w:tcW w:w="2569"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p>
        </w:tc>
        <w:tc>
          <w:tcPr>
            <w:tcW w:w="177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J6 轴腕扭转</w:t>
            </w:r>
          </w:p>
        </w:tc>
        <w:tc>
          <w:tcPr>
            <w:tcW w:w="2634"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900°/s</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18</w:t>
            </w:r>
          </w:p>
        </w:tc>
        <w:tc>
          <w:tcPr>
            <w:tcW w:w="4347" w:type="dxa"/>
            <w:gridSpan w:val="2"/>
            <w:tcBorders>
              <w:top w:val="single" w:color="000000" w:sz="6"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工作范围</w:t>
            </w:r>
          </w:p>
        </w:tc>
        <w:tc>
          <w:tcPr>
            <w:tcW w:w="2634" w:type="dxa"/>
            <w:tcBorders>
              <w:top w:val="single" w:color="000000" w:sz="6" w:space="0"/>
              <w:left w:val="single" w:color="auto" w:sz="4" w:space="0"/>
              <w:bottom w:val="single" w:color="auto" w:sz="4"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550mm</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auto" w:sz="4" w:space="0"/>
              <w:left w:val="single" w:color="000000" w:sz="12"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19</w:t>
            </w:r>
          </w:p>
        </w:tc>
        <w:tc>
          <w:tcPr>
            <w:tcW w:w="2569" w:type="dxa"/>
            <w:tcBorders>
              <w:top w:val="single" w:color="auto" w:sz="4" w:space="0"/>
              <w:left w:val="single" w:color="auto" w:sz="4" w:space="0"/>
              <w:bottom w:val="single" w:color="000000"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高度</w:t>
            </w:r>
          </w:p>
        </w:tc>
        <w:tc>
          <w:tcPr>
            <w:tcW w:w="4412" w:type="dxa"/>
            <w:gridSpan w:val="2"/>
            <w:tcBorders>
              <w:top w:val="single" w:color="auto" w:sz="4" w:space="0"/>
              <w:left w:val="single" w:color="auto" w:sz="4"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700mm</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20</w:t>
            </w:r>
          </w:p>
        </w:tc>
        <w:tc>
          <w:tcPr>
            <w:tcW w:w="2569"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供电电源</w:t>
            </w:r>
          </w:p>
        </w:tc>
        <w:tc>
          <w:tcPr>
            <w:tcW w:w="4412" w:type="dxa"/>
            <w:gridSpan w:val="2"/>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220V，50Hz</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21</w:t>
            </w:r>
          </w:p>
        </w:tc>
        <w:tc>
          <w:tcPr>
            <w:tcW w:w="2569"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安装</w:t>
            </w:r>
          </w:p>
        </w:tc>
        <w:tc>
          <w:tcPr>
            <w:tcW w:w="4412" w:type="dxa"/>
            <w:gridSpan w:val="2"/>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任意角度</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22</w:t>
            </w:r>
          </w:p>
        </w:tc>
        <w:tc>
          <w:tcPr>
            <w:tcW w:w="2569"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本体重量</w:t>
            </w:r>
          </w:p>
        </w:tc>
        <w:tc>
          <w:tcPr>
            <w:tcW w:w="4412" w:type="dxa"/>
            <w:gridSpan w:val="2"/>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20kg</w:t>
            </w:r>
          </w:p>
        </w:tc>
      </w:tr>
      <w:tr>
        <w:tblPrEx>
          <w:tblLayout w:type="fixed"/>
          <w:tblCellMar>
            <w:top w:w="0" w:type="dxa"/>
            <w:left w:w="0" w:type="dxa"/>
            <w:bottom w:w="0" w:type="dxa"/>
            <w:right w:w="0" w:type="dxa"/>
          </w:tblCellMar>
        </w:tblPrEx>
        <w:trPr>
          <w:trHeight w:val="510" w:hRule="exact"/>
          <w:jc w:val="center"/>
        </w:trPr>
        <w:tc>
          <w:tcPr>
            <w:tcW w:w="755"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23</w:t>
            </w:r>
          </w:p>
        </w:tc>
        <w:tc>
          <w:tcPr>
            <w:tcW w:w="2569" w:type="dxa"/>
            <w:tcBorders>
              <w:top w:val="single" w:color="000000" w:sz="6" w:space="0"/>
              <w:left w:val="single" w:color="000000" w:sz="6" w:space="0"/>
              <w:bottom w:val="single" w:color="000000" w:sz="12"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zh-CN"/>
              </w:rPr>
            </w:pPr>
            <w:r>
              <w:rPr>
                <w:rFonts w:hint="eastAsia" w:ascii="ArialUnicodeMS" w:eastAsia="ArialUnicodeMS" w:cs="ArialUnicodeMS"/>
                <w:kern w:val="0"/>
                <w:sz w:val="32"/>
                <w:szCs w:val="32"/>
                <w:lang w:eastAsia="zh-CN"/>
              </w:rPr>
              <w:t>环境温度（机器人本体）</w:t>
            </w:r>
          </w:p>
        </w:tc>
        <w:tc>
          <w:tcPr>
            <w:tcW w:w="4412" w:type="dxa"/>
            <w:gridSpan w:val="2"/>
            <w:tcBorders>
              <w:top w:val="single" w:color="000000" w:sz="6" w:space="0"/>
              <w:left w:val="single" w:color="000000" w:sz="6" w:space="0"/>
              <w:bottom w:val="single" w:color="000000" w:sz="12" w:space="0"/>
              <w:right w:val="single" w:color="000000" w:sz="12" w:space="0"/>
            </w:tcBorders>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ArialUnicodeMS" w:eastAsia="ArialUnicodeMS" w:cs="ArialUnicodeMS"/>
                <w:kern w:val="0"/>
                <w:sz w:val="32"/>
                <w:szCs w:val="32"/>
                <w:lang w:eastAsia="en-US"/>
              </w:rPr>
            </w:pPr>
            <w:r>
              <w:rPr>
                <w:rFonts w:hint="eastAsia" w:ascii="ArialUnicodeMS" w:eastAsia="ArialUnicodeMS" w:cs="ArialUnicodeMS"/>
                <w:kern w:val="0"/>
                <w:sz w:val="32"/>
                <w:szCs w:val="32"/>
                <w:lang w:eastAsia="en-US"/>
              </w:rPr>
              <w:t>-10~50℃</w:t>
            </w:r>
          </w:p>
        </w:tc>
      </w:tr>
    </w:tbl>
    <w:p>
      <w:pPr>
        <w:spacing w:line="288" w:lineRule="auto"/>
        <w:contextualSpacing/>
        <w:rPr>
          <w:rFonts w:ascii="仿宋_GB2312" w:hAnsi="宋体" w:eastAsia="仿宋_GB2312"/>
          <w:color w:val="000000"/>
          <w:sz w:val="32"/>
          <w:szCs w:val="32"/>
        </w:rPr>
      </w:pPr>
    </w:p>
    <w:p>
      <w:pPr>
        <w:spacing w:line="58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ascii="楷体_GB2312" w:hAnsi="楷体_GB2312" w:eastAsia="楷体_GB2312" w:cs="楷体_GB2312"/>
          <w:sz w:val="32"/>
          <w:szCs w:val="32"/>
        </w:rPr>
        <w:t>.6.</w:t>
      </w:r>
      <w:r>
        <w:rPr>
          <w:rFonts w:hint="eastAsia" w:ascii="楷体_GB2312" w:hAnsi="楷体_GB2312" w:eastAsia="楷体_GB2312" w:cs="楷体_GB2312"/>
          <w:sz w:val="32"/>
          <w:szCs w:val="32"/>
        </w:rPr>
        <w:t>2软件环境</w:t>
      </w:r>
    </w:p>
    <w:p>
      <w:pPr>
        <w:spacing w:line="580" w:lineRule="exact"/>
        <w:ind w:firstLine="648"/>
        <w:rPr>
          <w:rFonts w:ascii="仿宋_GB2312" w:hAnsi="宋体" w:eastAsia="仿宋_GB2312" w:cs="仿宋"/>
          <w:kern w:val="0"/>
          <w:sz w:val="32"/>
          <w:szCs w:val="32"/>
        </w:rPr>
      </w:pPr>
      <w:r>
        <w:rPr>
          <w:rFonts w:hint="eastAsia" w:ascii="仿宋_GB2312" w:hAnsi="宋体" w:eastAsia="仿宋_GB2312" w:cs="仿宋"/>
          <w:kern w:val="0"/>
          <w:sz w:val="32"/>
          <w:szCs w:val="32"/>
        </w:rPr>
        <w:t>赛场使用的软件，由总工会委托赛项承办方联系合作企业统一提供，赛场计算机预装正版软件。如需其他类型软件，需提前联系赛场或组委会，经协商如具备条件，允许选手自带自装其他正版软件。</w:t>
      </w:r>
    </w:p>
    <w:p>
      <w:pPr>
        <w:spacing w:line="580" w:lineRule="exact"/>
        <w:ind w:firstLine="640" w:firstLineChars="200"/>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Raavi">
    <w:panose1 w:val="020B0502040204020203"/>
    <w:charset w:val="00"/>
    <w:family w:val="auto"/>
    <w:pitch w:val="default"/>
    <w:sig w:usb0="00020003" w:usb1="00000000" w:usb2="00000000" w:usb3="00000000" w:csb0="00000001" w:csb1="00000000"/>
  </w:font>
  <w:font w:name="方正大标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黑体简体">
    <w:altName w:val="微软雅黑"/>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65A21"/>
    <w:multiLevelType w:val="multilevel"/>
    <w:tmpl w:val="5AF65A21"/>
    <w:lvl w:ilvl="0" w:tentative="0">
      <w:start w:val="1"/>
      <w:numFmt w:val="bullet"/>
      <w:lvlText w:val=""/>
      <w:lvlJc w:val="left"/>
      <w:pPr>
        <w:ind w:left="1268" w:hanging="420"/>
      </w:pPr>
      <w:rPr>
        <w:rFonts w:hint="default" w:ascii="Wingdings" w:hAnsi="Wingdings"/>
      </w:rPr>
    </w:lvl>
    <w:lvl w:ilvl="1" w:tentative="0">
      <w:start w:val="1"/>
      <w:numFmt w:val="bullet"/>
      <w:lvlText w:val=""/>
      <w:lvlJc w:val="left"/>
      <w:pPr>
        <w:ind w:left="1688" w:hanging="420"/>
      </w:pPr>
      <w:rPr>
        <w:rFonts w:hint="default" w:ascii="Wingdings" w:hAnsi="Wingdings"/>
      </w:rPr>
    </w:lvl>
    <w:lvl w:ilvl="2" w:tentative="0">
      <w:start w:val="1"/>
      <w:numFmt w:val="bullet"/>
      <w:lvlText w:val=""/>
      <w:lvlJc w:val="left"/>
      <w:pPr>
        <w:ind w:left="2108" w:hanging="420"/>
      </w:pPr>
      <w:rPr>
        <w:rFonts w:hint="default" w:ascii="Wingdings" w:hAnsi="Wingdings"/>
      </w:rPr>
    </w:lvl>
    <w:lvl w:ilvl="3" w:tentative="0">
      <w:start w:val="1"/>
      <w:numFmt w:val="bullet"/>
      <w:lvlText w:val=""/>
      <w:lvlJc w:val="left"/>
      <w:pPr>
        <w:ind w:left="2528" w:hanging="420"/>
      </w:pPr>
      <w:rPr>
        <w:rFonts w:hint="default" w:ascii="Wingdings" w:hAnsi="Wingdings"/>
      </w:rPr>
    </w:lvl>
    <w:lvl w:ilvl="4" w:tentative="0">
      <w:start w:val="1"/>
      <w:numFmt w:val="bullet"/>
      <w:lvlText w:val=""/>
      <w:lvlJc w:val="left"/>
      <w:pPr>
        <w:ind w:left="2948" w:hanging="420"/>
      </w:pPr>
      <w:rPr>
        <w:rFonts w:hint="default" w:ascii="Wingdings" w:hAnsi="Wingdings"/>
      </w:rPr>
    </w:lvl>
    <w:lvl w:ilvl="5" w:tentative="0">
      <w:start w:val="1"/>
      <w:numFmt w:val="bullet"/>
      <w:lvlText w:val=""/>
      <w:lvlJc w:val="left"/>
      <w:pPr>
        <w:ind w:left="3368" w:hanging="420"/>
      </w:pPr>
      <w:rPr>
        <w:rFonts w:hint="default" w:ascii="Wingdings" w:hAnsi="Wingdings"/>
      </w:rPr>
    </w:lvl>
    <w:lvl w:ilvl="6" w:tentative="0">
      <w:start w:val="1"/>
      <w:numFmt w:val="bullet"/>
      <w:lvlText w:val=""/>
      <w:lvlJc w:val="left"/>
      <w:pPr>
        <w:ind w:left="3788" w:hanging="420"/>
      </w:pPr>
      <w:rPr>
        <w:rFonts w:hint="default" w:ascii="Wingdings" w:hAnsi="Wingdings"/>
      </w:rPr>
    </w:lvl>
    <w:lvl w:ilvl="7" w:tentative="0">
      <w:start w:val="1"/>
      <w:numFmt w:val="bullet"/>
      <w:lvlText w:val=""/>
      <w:lvlJc w:val="left"/>
      <w:pPr>
        <w:ind w:left="4208" w:hanging="420"/>
      </w:pPr>
      <w:rPr>
        <w:rFonts w:hint="default" w:ascii="Wingdings" w:hAnsi="Wingdings"/>
      </w:rPr>
    </w:lvl>
    <w:lvl w:ilvl="8" w:tentative="0">
      <w:start w:val="1"/>
      <w:numFmt w:val="bullet"/>
      <w:lvlText w:val=""/>
      <w:lvlJc w:val="left"/>
      <w:pPr>
        <w:ind w:left="4628" w:hanging="420"/>
      </w:pPr>
      <w:rPr>
        <w:rFonts w:hint="default" w:ascii="Wingdings" w:hAnsi="Wingdings"/>
      </w:rPr>
    </w:lvl>
  </w:abstractNum>
  <w:abstractNum w:abstractNumId="1">
    <w:nsid w:val="5B242C53"/>
    <w:multiLevelType w:val="multilevel"/>
    <w:tmpl w:val="5B242C53"/>
    <w:lvl w:ilvl="0" w:tentative="0">
      <w:start w:val="1"/>
      <w:numFmt w:val="bullet"/>
      <w:lvlText w:val=""/>
      <w:lvlJc w:val="left"/>
      <w:pPr>
        <w:ind w:left="1268" w:hanging="420"/>
      </w:pPr>
      <w:rPr>
        <w:rFonts w:hint="default" w:ascii="Wingdings" w:hAnsi="Wingdings"/>
      </w:rPr>
    </w:lvl>
    <w:lvl w:ilvl="1" w:tentative="0">
      <w:start w:val="1"/>
      <w:numFmt w:val="bullet"/>
      <w:lvlText w:val=""/>
      <w:lvlJc w:val="left"/>
      <w:pPr>
        <w:ind w:left="1688" w:hanging="420"/>
      </w:pPr>
      <w:rPr>
        <w:rFonts w:hint="default" w:ascii="Wingdings" w:hAnsi="Wingdings"/>
      </w:rPr>
    </w:lvl>
    <w:lvl w:ilvl="2" w:tentative="0">
      <w:start w:val="1"/>
      <w:numFmt w:val="bullet"/>
      <w:lvlText w:val=""/>
      <w:lvlJc w:val="left"/>
      <w:pPr>
        <w:ind w:left="2108" w:hanging="420"/>
      </w:pPr>
      <w:rPr>
        <w:rFonts w:hint="default" w:ascii="Wingdings" w:hAnsi="Wingdings"/>
      </w:rPr>
    </w:lvl>
    <w:lvl w:ilvl="3" w:tentative="0">
      <w:start w:val="1"/>
      <w:numFmt w:val="bullet"/>
      <w:lvlText w:val=""/>
      <w:lvlJc w:val="left"/>
      <w:pPr>
        <w:ind w:left="2528" w:hanging="420"/>
      </w:pPr>
      <w:rPr>
        <w:rFonts w:hint="default" w:ascii="Wingdings" w:hAnsi="Wingdings"/>
      </w:rPr>
    </w:lvl>
    <w:lvl w:ilvl="4" w:tentative="0">
      <w:start w:val="1"/>
      <w:numFmt w:val="bullet"/>
      <w:lvlText w:val=""/>
      <w:lvlJc w:val="left"/>
      <w:pPr>
        <w:ind w:left="2948" w:hanging="420"/>
      </w:pPr>
      <w:rPr>
        <w:rFonts w:hint="default" w:ascii="Wingdings" w:hAnsi="Wingdings"/>
      </w:rPr>
    </w:lvl>
    <w:lvl w:ilvl="5" w:tentative="0">
      <w:start w:val="1"/>
      <w:numFmt w:val="bullet"/>
      <w:lvlText w:val=""/>
      <w:lvlJc w:val="left"/>
      <w:pPr>
        <w:ind w:left="3368" w:hanging="420"/>
      </w:pPr>
      <w:rPr>
        <w:rFonts w:hint="default" w:ascii="Wingdings" w:hAnsi="Wingdings"/>
      </w:rPr>
    </w:lvl>
    <w:lvl w:ilvl="6" w:tentative="0">
      <w:start w:val="1"/>
      <w:numFmt w:val="bullet"/>
      <w:lvlText w:val=""/>
      <w:lvlJc w:val="left"/>
      <w:pPr>
        <w:ind w:left="3788" w:hanging="420"/>
      </w:pPr>
      <w:rPr>
        <w:rFonts w:hint="default" w:ascii="Wingdings" w:hAnsi="Wingdings"/>
      </w:rPr>
    </w:lvl>
    <w:lvl w:ilvl="7" w:tentative="0">
      <w:start w:val="1"/>
      <w:numFmt w:val="bullet"/>
      <w:lvlText w:val=""/>
      <w:lvlJc w:val="left"/>
      <w:pPr>
        <w:ind w:left="4208" w:hanging="420"/>
      </w:pPr>
      <w:rPr>
        <w:rFonts w:hint="default" w:ascii="Wingdings" w:hAnsi="Wingdings"/>
      </w:rPr>
    </w:lvl>
    <w:lvl w:ilvl="8" w:tentative="0">
      <w:start w:val="1"/>
      <w:numFmt w:val="bullet"/>
      <w:lvlText w:val=""/>
      <w:lvlJc w:val="left"/>
      <w:pPr>
        <w:ind w:left="4628" w:hanging="420"/>
      </w:pPr>
      <w:rPr>
        <w:rFonts w:hint="default" w:ascii="Wingdings" w:hAnsi="Wingdings"/>
      </w:rPr>
    </w:lvl>
  </w:abstractNum>
  <w:abstractNum w:abstractNumId="2">
    <w:nsid w:val="6BA43AF8"/>
    <w:multiLevelType w:val="multilevel"/>
    <w:tmpl w:val="6BA43AF8"/>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83C7A"/>
    <w:rsid w:val="536B7CA8"/>
    <w:rsid w:val="7D0C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列出段落1"/>
    <w:basedOn w:val="1"/>
    <w:qFormat/>
    <w:uiPriority w:val="99"/>
    <w:pPr>
      <w:ind w:firstLine="420" w:firstLineChars="200"/>
    </w:pPr>
  </w:style>
  <w:style w:type="table" w:customStyle="1" w:styleId="6">
    <w:name w:val="Table Normal"/>
    <w:unhideWhenUsed/>
    <w:qFormat/>
    <w:uiPriority w:val="2"/>
    <w:pPr>
      <w:widowControl w:val="0"/>
    </w:pPr>
    <w:rPr>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贾娜</cp:lastModifiedBy>
  <dcterms:modified xsi:type="dcterms:W3CDTF">2022-05-31T01:24:11Z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