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1E" w:rsidRDefault="0022271E" w:rsidP="0022271E">
      <w:pPr>
        <w:widowControl/>
        <w:snapToGrid w:val="0"/>
        <w:spacing w:line="58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农产品</w:t>
      </w:r>
      <w:r w:rsidR="00481588">
        <w:rPr>
          <w:rFonts w:ascii="方正小标宋简体" w:eastAsia="方正小标宋简体" w:hAnsi="方正小标宋简体" w:cs="方正小标宋简体" w:hint="eastAsia"/>
          <w:kern w:val="0"/>
          <w:sz w:val="44"/>
          <w:szCs w:val="44"/>
        </w:rPr>
        <w:t>食品检验员赛项技术文件</w:t>
      </w:r>
    </w:p>
    <w:p w:rsidR="0022271E" w:rsidRDefault="0022271E" w:rsidP="0022271E">
      <w:pPr>
        <w:widowControl/>
        <w:snapToGrid w:val="0"/>
        <w:spacing w:line="580" w:lineRule="exact"/>
        <w:rPr>
          <w:rFonts w:ascii="方正小标宋简体" w:eastAsia="方正小标宋简体" w:hAnsi="方正小标宋简体"/>
          <w:kern w:val="0"/>
          <w:szCs w:val="21"/>
        </w:rPr>
      </w:pPr>
      <w:r>
        <w:rPr>
          <w:rFonts w:ascii="方正小标宋简体" w:eastAsia="方正小标宋简体" w:hAnsi="方正小标宋简体" w:hint="eastAsia"/>
          <w:kern w:val="0"/>
          <w:sz w:val="32"/>
          <w:szCs w:val="32"/>
        </w:rPr>
        <w:t> </w:t>
      </w:r>
    </w:p>
    <w:p w:rsidR="0022271E" w:rsidRDefault="0022271E" w:rsidP="0022271E">
      <w:pPr>
        <w:widowControl/>
        <w:snapToGrid w:val="0"/>
        <w:spacing w:line="580" w:lineRule="exact"/>
        <w:jc w:val="left"/>
        <w:rPr>
          <w:rFonts w:ascii="Times New Roman" w:hAnsi="Times New Roman"/>
          <w:color w:val="FF0000"/>
          <w:kern w:val="0"/>
          <w:szCs w:val="21"/>
        </w:rPr>
      </w:pPr>
      <w:r>
        <w:rPr>
          <w:rFonts w:ascii="仿宋_GB2312" w:eastAsia="仿宋_GB2312" w:hAnsi="Times New Roman" w:hint="eastAsia"/>
          <w:kern w:val="0"/>
          <w:sz w:val="32"/>
          <w:szCs w:val="32"/>
        </w:rPr>
        <w:t xml:space="preserve">    </w:t>
      </w:r>
      <w:r w:rsidR="00F30447" w:rsidRPr="00F30447">
        <w:rPr>
          <w:rFonts w:ascii="仿宋_GB2312" w:eastAsia="仿宋_GB2312" w:hAnsi="方正小标宋简体" w:cs="方正小标宋简体" w:hint="eastAsia"/>
          <w:kern w:val="0"/>
          <w:sz w:val="32"/>
          <w:szCs w:val="32"/>
        </w:rPr>
        <w:t>农产品食品检验员赛项</w:t>
      </w:r>
      <w:r w:rsidR="00D867C1">
        <w:rPr>
          <w:rFonts w:ascii="仿宋_GB2312" w:eastAsia="仿宋_GB2312" w:hAnsi="Times New Roman" w:hint="eastAsia"/>
          <w:kern w:val="0"/>
          <w:sz w:val="32"/>
          <w:szCs w:val="32"/>
        </w:rPr>
        <w:t>决赛由理论考试和</w:t>
      </w:r>
      <w:r w:rsidR="00F30447">
        <w:rPr>
          <w:rFonts w:ascii="仿宋_GB2312" w:eastAsia="仿宋_GB2312" w:hAnsi="Times New Roman" w:hint="eastAsia"/>
          <w:kern w:val="0"/>
          <w:sz w:val="32"/>
          <w:szCs w:val="32"/>
        </w:rPr>
        <w:t>实际操作比赛两部分组成。</w:t>
      </w:r>
    </w:p>
    <w:p w:rsidR="0022271E" w:rsidRDefault="0022271E" w:rsidP="0022271E">
      <w:pPr>
        <w:widowControl/>
        <w:snapToGrid w:val="0"/>
        <w:spacing w:line="580" w:lineRule="exact"/>
        <w:ind w:left="601"/>
        <w:rPr>
          <w:rFonts w:ascii="Times New Roman" w:hAnsi="Times New Roman"/>
          <w:kern w:val="0"/>
          <w:szCs w:val="21"/>
        </w:rPr>
      </w:pPr>
      <w:r>
        <w:rPr>
          <w:rFonts w:ascii="黑体" w:eastAsia="黑体" w:hAnsi="Times New Roman" w:hint="eastAsia"/>
          <w:kern w:val="0"/>
          <w:sz w:val="32"/>
          <w:szCs w:val="32"/>
        </w:rPr>
        <w:t xml:space="preserve"> 一、</w:t>
      </w:r>
      <w:r>
        <w:rPr>
          <w:rFonts w:ascii="Times New Roman" w:hAnsi="Times New Roman"/>
          <w:kern w:val="0"/>
          <w:sz w:val="32"/>
          <w:szCs w:val="32"/>
        </w:rPr>
        <w:t xml:space="preserve"> </w:t>
      </w:r>
      <w:r>
        <w:rPr>
          <w:rFonts w:ascii="黑体" w:eastAsia="黑体" w:hAnsi="Times New Roman" w:hint="eastAsia"/>
          <w:kern w:val="0"/>
          <w:sz w:val="32"/>
          <w:szCs w:val="32"/>
        </w:rPr>
        <w:t>理论知识考试</w:t>
      </w:r>
    </w:p>
    <w:p w:rsidR="0022271E" w:rsidRDefault="0022271E" w:rsidP="0022271E">
      <w:pPr>
        <w:widowControl/>
        <w:snapToGrid w:val="0"/>
        <w:spacing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 考试题型和时间</w:t>
      </w:r>
    </w:p>
    <w:p w:rsidR="0022271E" w:rsidRDefault="0022271E" w:rsidP="0022271E">
      <w:pPr>
        <w:widowControl/>
        <w:snapToGrid w:val="0"/>
        <w:spacing w:line="580" w:lineRule="exact"/>
        <w:ind w:firstLine="640"/>
        <w:rPr>
          <w:rFonts w:ascii="Times New Roman" w:hAnsi="Times New Roman"/>
          <w:kern w:val="0"/>
          <w:szCs w:val="21"/>
        </w:rPr>
      </w:pPr>
      <w:r>
        <w:rPr>
          <w:rFonts w:ascii="仿宋_GB2312" w:eastAsia="仿宋_GB2312" w:hAnsi="Times New Roman" w:hint="eastAsia"/>
          <w:kern w:val="0"/>
          <w:sz w:val="32"/>
          <w:szCs w:val="32"/>
        </w:rPr>
        <w:t>理论知识考试采用闭卷方式，时间为</w:t>
      </w:r>
      <w:r>
        <w:rPr>
          <w:rFonts w:ascii="Times New Roman" w:hAnsi="Times New Roman"/>
          <w:kern w:val="0"/>
          <w:sz w:val="32"/>
          <w:szCs w:val="32"/>
        </w:rPr>
        <w:t>90</w:t>
      </w:r>
      <w:r>
        <w:rPr>
          <w:rFonts w:ascii="仿宋_GB2312" w:eastAsia="仿宋_GB2312" w:hAnsi="Times New Roman" w:hint="eastAsia"/>
          <w:kern w:val="0"/>
          <w:sz w:val="32"/>
          <w:szCs w:val="32"/>
        </w:rPr>
        <w:t>分钟，题型包括选择题、判断题、简答题和论述题。</w:t>
      </w:r>
    </w:p>
    <w:p w:rsidR="0022271E" w:rsidRDefault="0022271E" w:rsidP="0022271E">
      <w:pPr>
        <w:widowControl/>
        <w:snapToGrid w:val="0"/>
        <w:spacing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 理论知识考试范围</w:t>
      </w:r>
    </w:p>
    <w:p w:rsidR="0022271E" w:rsidRDefault="0022271E" w:rsidP="0022271E">
      <w:pPr>
        <w:widowControl/>
        <w:snapToGrid w:val="0"/>
        <w:spacing w:line="580" w:lineRule="exact"/>
        <w:ind w:firstLine="640"/>
        <w:rPr>
          <w:rFonts w:ascii="Times New Roman" w:hAnsi="Times New Roman"/>
          <w:kern w:val="0"/>
          <w:szCs w:val="21"/>
        </w:rPr>
      </w:pPr>
      <w:r>
        <w:rPr>
          <w:rFonts w:ascii="仿宋_GB2312" w:eastAsia="仿宋_GB2312" w:hAnsi="Times New Roman" w:hint="eastAsia"/>
          <w:kern w:val="0"/>
          <w:sz w:val="32"/>
          <w:szCs w:val="32"/>
        </w:rPr>
        <w:t>主要包括农产品质量安全相关法律法规、检验检测基本知识和实验室操作技能知识等内容，为相应职业的《国家职业技能标准》高级工（国家职业资格三级）及以上相关知识。其中，</w:t>
      </w:r>
      <w:r>
        <w:rPr>
          <w:rFonts w:ascii="Times New Roman" w:hAnsi="Times New Roman"/>
          <w:kern w:val="0"/>
          <w:sz w:val="32"/>
          <w:szCs w:val="32"/>
        </w:rPr>
        <w:t>50%</w:t>
      </w:r>
      <w:r>
        <w:rPr>
          <w:rFonts w:ascii="仿宋_GB2312" w:eastAsia="仿宋_GB2312" w:hAnsi="Times New Roman" w:hint="eastAsia"/>
          <w:kern w:val="0"/>
          <w:sz w:val="32"/>
          <w:szCs w:val="32"/>
        </w:rPr>
        <w:t>的题目出自《全国农产品质量安全检测技能竞赛题库</w:t>
      </w:r>
      <w:r w:rsidRPr="00160DF1">
        <w:rPr>
          <w:rFonts w:ascii="仿宋_GB2312" w:eastAsia="仿宋_GB2312" w:hAnsi="Times New Roman" w:hint="eastAsia"/>
          <w:color w:val="000000" w:themeColor="text1"/>
          <w:kern w:val="0"/>
          <w:sz w:val="32"/>
          <w:szCs w:val="32"/>
        </w:rPr>
        <w:t>（2016年版）</w:t>
      </w:r>
      <w:r>
        <w:rPr>
          <w:rFonts w:ascii="仿宋_GB2312" w:eastAsia="仿宋_GB2312" w:hAnsi="Times New Roman" w:hint="eastAsia"/>
          <w:kern w:val="0"/>
          <w:sz w:val="32"/>
          <w:szCs w:val="32"/>
        </w:rPr>
        <w:t>》，</w:t>
      </w:r>
      <w:r>
        <w:rPr>
          <w:rFonts w:ascii="Times New Roman" w:hAnsi="Times New Roman"/>
          <w:kern w:val="0"/>
          <w:sz w:val="32"/>
          <w:szCs w:val="32"/>
        </w:rPr>
        <w:t>50%</w:t>
      </w:r>
      <w:r>
        <w:rPr>
          <w:rFonts w:ascii="仿宋_GB2312" w:eastAsia="仿宋_GB2312" w:hAnsi="Times New Roman" w:hint="eastAsia"/>
          <w:kern w:val="0"/>
          <w:sz w:val="32"/>
          <w:szCs w:val="32"/>
        </w:rPr>
        <w:t>的题目另行制定。</w:t>
      </w:r>
    </w:p>
    <w:p w:rsidR="0022271E" w:rsidRDefault="0022271E" w:rsidP="0022271E">
      <w:pPr>
        <w:widowControl/>
        <w:snapToGrid w:val="0"/>
        <w:spacing w:line="580" w:lineRule="exact"/>
        <w:ind w:left="601"/>
        <w:rPr>
          <w:rFonts w:ascii="Times New Roman" w:hAnsi="Times New Roman"/>
          <w:kern w:val="0"/>
          <w:szCs w:val="21"/>
        </w:rPr>
      </w:pPr>
      <w:r>
        <w:rPr>
          <w:rFonts w:ascii="黑体" w:eastAsia="黑体" w:hAnsi="Times New Roman" w:hint="eastAsia"/>
          <w:kern w:val="0"/>
          <w:sz w:val="32"/>
          <w:szCs w:val="32"/>
        </w:rPr>
        <w:t>二、实际操作考核</w:t>
      </w:r>
    </w:p>
    <w:p w:rsidR="0022271E" w:rsidRDefault="00E36224" w:rsidP="0022271E">
      <w:pPr>
        <w:widowControl/>
        <w:snapToGrid w:val="0"/>
        <w:spacing w:after="60" w:line="580" w:lineRule="exact"/>
        <w:ind w:firstLine="640"/>
        <w:rPr>
          <w:rFonts w:ascii="Times New Roman" w:hAnsi="Times New Roman"/>
          <w:kern w:val="0"/>
          <w:szCs w:val="21"/>
        </w:rPr>
      </w:pPr>
      <w:r>
        <w:rPr>
          <w:rFonts w:ascii="楷体_GB2312" w:eastAsia="楷体_GB2312" w:hAnsi="楷体_GB2312" w:cs="楷体_GB2312" w:hint="eastAsia"/>
          <w:kern w:val="0"/>
          <w:sz w:val="32"/>
          <w:szCs w:val="32"/>
        </w:rPr>
        <w:t>（一）考核</w:t>
      </w:r>
      <w:r w:rsidR="0022271E">
        <w:rPr>
          <w:rFonts w:ascii="仿宋_GB2312" w:eastAsia="仿宋_GB2312" w:hAnsi="Times New Roman" w:hint="eastAsia"/>
          <w:kern w:val="0"/>
          <w:sz w:val="32"/>
          <w:szCs w:val="32"/>
        </w:rPr>
        <w:t>检测项目（考核参数将从中选择）：</w:t>
      </w:r>
    </w:p>
    <w:p w:rsidR="0022271E" w:rsidRDefault="00E36224" w:rsidP="0022271E">
      <w:pPr>
        <w:widowControl/>
        <w:snapToGrid w:val="0"/>
        <w:spacing w:after="60"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1.</w:t>
      </w:r>
      <w:r w:rsidR="0022271E">
        <w:rPr>
          <w:rFonts w:ascii="楷体_GB2312" w:eastAsia="楷体_GB2312" w:hAnsi="楷体_GB2312" w:cs="楷体_GB2312" w:hint="eastAsia"/>
          <w:kern w:val="0"/>
          <w:sz w:val="32"/>
          <w:szCs w:val="32"/>
        </w:rPr>
        <w:t>种植业产品定量检测范围</w:t>
      </w:r>
    </w:p>
    <w:p w:rsidR="0022271E" w:rsidRDefault="0022271E" w:rsidP="0022271E">
      <w:pPr>
        <w:ind w:firstLineChars="200" w:firstLine="640"/>
        <w:rPr>
          <w:rFonts w:ascii="仿宋_GB2312" w:eastAsia="仿宋_GB2312"/>
          <w:sz w:val="32"/>
          <w:szCs w:val="32"/>
        </w:rPr>
      </w:pPr>
      <w:r>
        <w:rPr>
          <w:rFonts w:ascii="仿宋_GB2312" w:eastAsia="仿宋_GB2312" w:hint="eastAsia"/>
          <w:sz w:val="32"/>
          <w:szCs w:val="32"/>
        </w:rPr>
        <w:t>蔬菜和水果中甲胺磷、氧乐果、甲拌磷、对硫磷、甲基对硫磷、甲基异柳磷、水胺硫磷、乐果、敌敌畏、毒死蜱、乙酰甲胺磷、三唑磷、丙溴磷、杀螟硫磷、二嗪磷、马拉硫磷、亚胺硫磷、伏杀硫磷、六六六、氯氰菊酯、氰戊菊酯、甲氰菊酯、氯氟氰菊</w:t>
      </w:r>
      <w:r>
        <w:rPr>
          <w:rFonts w:ascii="仿宋_GB2312" w:eastAsia="仿宋_GB2312" w:hint="eastAsia"/>
          <w:sz w:val="32"/>
          <w:szCs w:val="32"/>
        </w:rPr>
        <w:lastRenderedPageBreak/>
        <w:t>酯、氟氯氰菊酯、溴氰菊酯、联苯菊酯、氟胺氰菊酯、氟氰戊菊酯、三唑酮、百菌清、异菌脲、腐霉利、五氯硝基苯、乙烯菌核利、涕灭威（包括涕灭威砜涕灭威亚砜）、灭多威、克百威（包括3-羟基克百威）、甲萘威，参照《蔬菜和水果有机磷、有机氯、拟除虫菊酯和氨基甲酸酯类农药多残留的测定》（NY/T 761-2008）操作；</w:t>
      </w:r>
    </w:p>
    <w:p w:rsidR="0022271E" w:rsidRDefault="0022271E" w:rsidP="0022271E">
      <w:pPr>
        <w:ind w:firstLineChars="200" w:firstLine="640"/>
        <w:rPr>
          <w:rFonts w:ascii="仿宋_GB2312" w:eastAsia="仿宋_GB2312" w:hAnsi="Times New Roman"/>
          <w:kern w:val="0"/>
          <w:sz w:val="32"/>
          <w:szCs w:val="32"/>
        </w:rPr>
      </w:pPr>
      <w:r>
        <w:rPr>
          <w:rFonts w:ascii="仿宋_GB2312" w:eastAsia="仿宋_GB2312" w:hint="eastAsia"/>
          <w:sz w:val="32"/>
          <w:szCs w:val="32"/>
        </w:rPr>
        <w:t>蔬菜和水果中氟虫腈、啶虫脒、哒螨灵、苯醚甲环唑、嘧霉胺、虫螨腈、二甲戊灵、噻虫嗪、氟啶脲等残留量的测定，参照《</w:t>
      </w:r>
      <w:r>
        <w:rPr>
          <w:rFonts w:eastAsia="仿宋_GB2312" w:hint="eastAsia"/>
          <w:sz w:val="32"/>
          <w:szCs w:val="32"/>
        </w:rPr>
        <w:t> </w:t>
      </w:r>
      <w:r>
        <w:rPr>
          <w:rFonts w:ascii="仿宋_GB2312" w:eastAsia="仿宋_GB2312" w:hint="eastAsia"/>
          <w:sz w:val="32"/>
          <w:szCs w:val="32"/>
        </w:rPr>
        <w:t>食品安全国家标准  水果和蔬菜中500种农药及相关化学品残留量的测定气相色谱-质谱法》（GB23200.8-2016）操作。</w:t>
      </w:r>
    </w:p>
    <w:p w:rsidR="0022271E" w:rsidRDefault="00E36224" w:rsidP="0022271E">
      <w:pPr>
        <w:widowControl/>
        <w:snapToGrid w:val="0"/>
        <w:spacing w:after="60"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2、</w:t>
      </w:r>
      <w:r w:rsidR="0022271E">
        <w:rPr>
          <w:rFonts w:ascii="楷体_GB2312" w:eastAsia="楷体_GB2312" w:hAnsi="楷体_GB2312" w:cs="楷体_GB2312" w:hint="eastAsia"/>
          <w:kern w:val="0"/>
          <w:sz w:val="32"/>
          <w:szCs w:val="32"/>
        </w:rPr>
        <w:t>畜禽产品定量检测范围</w:t>
      </w:r>
    </w:p>
    <w:p w:rsidR="00B847B9" w:rsidRPr="00B847B9" w:rsidRDefault="00B847B9" w:rsidP="00B847B9">
      <w:pPr>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w:t>
      </w:r>
      <w:r w:rsidRPr="00B847B9">
        <w:rPr>
          <w:rFonts w:ascii="仿宋_GB2312" w:eastAsia="仿宋_GB2312" w:hAnsi="Times New Roman" w:hint="eastAsia"/>
          <w:kern w:val="0"/>
          <w:sz w:val="32"/>
          <w:szCs w:val="32"/>
        </w:rPr>
        <w:t>鸡蛋中氟喹诺酮类药物残留量的测定，参照《鸡蛋中氟喹诺酮类药物残留量的测定 高效液相色谱法》农业部781号公告-6-2006操作；</w:t>
      </w:r>
    </w:p>
    <w:p w:rsidR="00B847B9" w:rsidRPr="00B847B9" w:rsidRDefault="00B847B9" w:rsidP="00B847B9">
      <w:pPr>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w:t>
      </w:r>
      <w:r w:rsidRPr="00B847B9">
        <w:rPr>
          <w:rFonts w:ascii="仿宋_GB2312" w:eastAsia="仿宋_GB2312" w:hAnsi="Times New Roman" w:hint="eastAsia"/>
          <w:kern w:val="0"/>
          <w:sz w:val="32"/>
          <w:szCs w:val="32"/>
        </w:rPr>
        <w:t>鸡肉中氟喹诺酮类药物残留的测定，参照《动物性食品中氟喹诺酮类药物残留检测高效液相色谱法》（农业部1025号公告-14-2008）操作；</w:t>
      </w:r>
    </w:p>
    <w:p w:rsidR="00B847B9" w:rsidRPr="00B847B9" w:rsidRDefault="00B847B9" w:rsidP="00B847B9">
      <w:pPr>
        <w:rPr>
          <w:rFonts w:ascii="仿宋_GB2312" w:eastAsia="仿宋_GB2312"/>
        </w:rPr>
      </w:pPr>
      <w:r>
        <w:rPr>
          <w:rFonts w:ascii="仿宋_GB2312" w:eastAsia="仿宋_GB2312" w:hAnsi="Times New Roman" w:hint="eastAsia"/>
          <w:kern w:val="0"/>
          <w:sz w:val="32"/>
          <w:szCs w:val="32"/>
        </w:rPr>
        <w:t xml:space="preserve">   </w:t>
      </w:r>
      <w:r w:rsidRPr="00B847B9">
        <w:rPr>
          <w:rFonts w:ascii="仿宋_GB2312" w:eastAsia="仿宋_GB2312" w:hAnsi="Times New Roman" w:hint="eastAsia"/>
          <w:kern w:val="0"/>
          <w:sz w:val="32"/>
          <w:szCs w:val="32"/>
        </w:rPr>
        <w:t>猪尿中瘦肉精的检测，参照《动物尿液中11种β-受体激动剂的检测 液相色谱-串联质谱法》农业部1063号公告-3-2008操作；</w:t>
      </w:r>
    </w:p>
    <w:p w:rsidR="0022271E" w:rsidRDefault="00E36224" w:rsidP="0022271E">
      <w:pPr>
        <w:widowControl/>
        <w:snapToGrid w:val="0"/>
        <w:spacing w:after="60" w:line="580" w:lineRule="exact"/>
        <w:ind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3、</w:t>
      </w:r>
      <w:r w:rsidR="0022271E">
        <w:rPr>
          <w:rFonts w:ascii="楷体_GB2312" w:eastAsia="楷体_GB2312" w:hAnsi="楷体_GB2312" w:cs="楷体_GB2312" w:hint="eastAsia"/>
          <w:kern w:val="0"/>
          <w:sz w:val="32"/>
          <w:szCs w:val="32"/>
        </w:rPr>
        <w:t>水产品定量检测范围</w:t>
      </w:r>
    </w:p>
    <w:p w:rsidR="0022271E" w:rsidRDefault="0022271E" w:rsidP="0022271E">
      <w:pPr>
        <w:ind w:firstLineChars="200" w:firstLine="640"/>
        <w:rPr>
          <w:rFonts w:ascii="仿宋_GB2312" w:eastAsia="仿宋_GB2312"/>
          <w:sz w:val="32"/>
          <w:szCs w:val="32"/>
        </w:rPr>
      </w:pPr>
      <w:r>
        <w:rPr>
          <w:rFonts w:ascii="仿宋_GB2312" w:eastAsia="仿宋_GB2312" w:hint="eastAsia"/>
          <w:sz w:val="32"/>
          <w:szCs w:val="32"/>
        </w:rPr>
        <w:lastRenderedPageBreak/>
        <w:t>水产品中孔雀石绿残留的测定，参照《水产品中孔雀石绿和结晶紫残留量的测定 高效液相色谱荧光法》（GB/T 20361-2006 ）操作；</w:t>
      </w:r>
    </w:p>
    <w:p w:rsidR="0022271E" w:rsidRDefault="0022271E" w:rsidP="0022271E">
      <w:pPr>
        <w:ind w:firstLineChars="200" w:firstLine="640"/>
        <w:rPr>
          <w:rFonts w:ascii="仿宋_GB2312" w:eastAsia="仿宋_GB2312"/>
          <w:sz w:val="32"/>
          <w:szCs w:val="32"/>
        </w:rPr>
      </w:pPr>
      <w:r>
        <w:rPr>
          <w:rFonts w:ascii="仿宋_GB2312" w:eastAsia="仿宋_GB2312" w:hint="eastAsia"/>
          <w:sz w:val="32"/>
          <w:szCs w:val="32"/>
        </w:rPr>
        <w:t>水产品中磺胺类药物残留量的测定，参照 《水产品中磺胺类药物残留量的测定 液相色谱法》(农业部 958 号公告-12-2007)操作。</w:t>
      </w:r>
    </w:p>
    <w:p w:rsidR="0022271E" w:rsidRDefault="00E36224" w:rsidP="0022271E">
      <w:pPr>
        <w:widowControl/>
        <w:tabs>
          <w:tab w:val="left" w:pos="426"/>
        </w:tabs>
        <w:snapToGrid w:val="0"/>
        <w:spacing w:line="580" w:lineRule="exact"/>
        <w:ind w:firstLine="640"/>
        <w:rPr>
          <w:rFonts w:ascii="Times New Roman" w:hAnsi="Times New Roman"/>
          <w:kern w:val="0"/>
          <w:szCs w:val="21"/>
        </w:rPr>
      </w:pPr>
      <w:r>
        <w:rPr>
          <w:rFonts w:ascii="楷体_GB2312" w:eastAsia="楷体_GB2312" w:hAnsi="楷体_GB2312" w:cs="楷体_GB2312" w:hint="eastAsia"/>
          <w:kern w:val="0"/>
          <w:sz w:val="32"/>
          <w:szCs w:val="32"/>
        </w:rPr>
        <w:t>（二）</w:t>
      </w:r>
      <w:r w:rsidR="00F30447">
        <w:rPr>
          <w:rFonts w:ascii="楷体_GB2312" w:eastAsia="楷体_GB2312" w:hAnsi="Times New Roman" w:hint="eastAsia"/>
          <w:kern w:val="0"/>
          <w:sz w:val="32"/>
          <w:szCs w:val="32"/>
        </w:rPr>
        <w:t>实际操作</w:t>
      </w:r>
      <w:r w:rsidR="0022271E">
        <w:rPr>
          <w:rFonts w:ascii="楷体_GB2312" w:eastAsia="楷体_GB2312" w:hAnsi="Times New Roman" w:hint="eastAsia"/>
          <w:kern w:val="0"/>
          <w:sz w:val="32"/>
          <w:szCs w:val="32"/>
        </w:rPr>
        <w:t>方式</w:t>
      </w:r>
    </w:p>
    <w:p w:rsidR="0022271E" w:rsidRDefault="0022271E" w:rsidP="0022271E">
      <w:pPr>
        <w:widowControl/>
        <w:snapToGrid w:val="0"/>
        <w:spacing w:line="580" w:lineRule="exact"/>
        <w:ind w:firstLine="640"/>
        <w:rPr>
          <w:rFonts w:ascii="Times New Roman" w:hAnsi="Times New Roman"/>
          <w:kern w:val="0"/>
          <w:szCs w:val="21"/>
        </w:rPr>
      </w:pPr>
      <w:r>
        <w:rPr>
          <w:rFonts w:ascii="仿宋_GB2312" w:eastAsia="仿宋_GB2312" w:hAnsi="Times New Roman" w:hint="eastAsia"/>
          <w:kern w:val="0"/>
          <w:sz w:val="32"/>
          <w:szCs w:val="32"/>
        </w:rPr>
        <w:t>每个代表队的</w:t>
      </w:r>
      <w:r>
        <w:rPr>
          <w:rFonts w:ascii="Times New Roman" w:hAnsi="Times New Roman"/>
          <w:kern w:val="0"/>
          <w:sz w:val="32"/>
          <w:szCs w:val="32"/>
        </w:rPr>
        <w:t>3</w:t>
      </w:r>
      <w:r>
        <w:rPr>
          <w:rFonts w:ascii="仿宋_GB2312" w:eastAsia="仿宋_GB2312" w:hAnsi="Times New Roman" w:hint="eastAsia"/>
          <w:kern w:val="0"/>
          <w:sz w:val="32"/>
          <w:szCs w:val="32"/>
        </w:rPr>
        <w:t>名参赛队员各自选择一类检测（种植业产品蔬菜水果农药残留、畜产品兽药残留及违禁物质和水产品兽药残留及违禁物质的定量检测）。试样制备及前处理过程由参赛队员现场操作完成，试液的上机测定由组委会安排专家按规定统一进行，测定结果由参赛队员根据仪器测定数据进行计算，填写原始记录。</w:t>
      </w:r>
    </w:p>
    <w:p w:rsidR="0022271E" w:rsidRDefault="0022271E" w:rsidP="0022271E">
      <w:pPr>
        <w:widowControl/>
        <w:tabs>
          <w:tab w:val="left" w:pos="426"/>
        </w:tabs>
        <w:snapToGrid w:val="0"/>
        <w:spacing w:line="580" w:lineRule="exact"/>
        <w:ind w:firstLine="640"/>
        <w:rPr>
          <w:rFonts w:ascii="黑体" w:eastAsia="黑体" w:hAnsi="Times New Roman"/>
          <w:kern w:val="0"/>
          <w:sz w:val="32"/>
          <w:szCs w:val="32"/>
        </w:rPr>
      </w:pPr>
      <w:r>
        <w:rPr>
          <w:rFonts w:ascii="黑体" w:eastAsia="黑体" w:hAnsi="Times New Roman" w:hint="eastAsia"/>
          <w:kern w:val="0"/>
          <w:sz w:val="32"/>
          <w:szCs w:val="32"/>
        </w:rPr>
        <w:t>三、评分方法</w:t>
      </w:r>
    </w:p>
    <w:p w:rsidR="00E36224" w:rsidRPr="00E36224" w:rsidRDefault="00E36224" w:rsidP="00E36224">
      <w:pPr>
        <w:widowControl/>
        <w:snapToGrid w:val="0"/>
        <w:spacing w:line="580" w:lineRule="exact"/>
        <w:ind w:firstLine="640"/>
        <w:rPr>
          <w:rFonts w:ascii="仿宋_GB2312" w:eastAsia="仿宋_GB2312" w:hAnsi="Times New Roman"/>
          <w:kern w:val="0"/>
          <w:sz w:val="32"/>
          <w:szCs w:val="32"/>
        </w:rPr>
      </w:pPr>
      <w:r w:rsidRPr="00E36224">
        <w:rPr>
          <w:rFonts w:ascii="仿宋_GB2312" w:eastAsia="仿宋_GB2312" w:hAnsi="Times New Roman" w:hint="eastAsia"/>
          <w:kern w:val="0"/>
          <w:sz w:val="32"/>
          <w:szCs w:val="32"/>
        </w:rPr>
        <w:t>理论知识比赛满分为 100 分，占总成绩的 30%；实际操作</w:t>
      </w:r>
    </w:p>
    <w:p w:rsidR="0022271E" w:rsidRDefault="00E36224" w:rsidP="00E36224">
      <w:pPr>
        <w:widowControl/>
        <w:snapToGrid w:val="0"/>
        <w:spacing w:line="580" w:lineRule="exact"/>
        <w:rPr>
          <w:rFonts w:ascii="Times New Roman" w:hAnsi="Times New Roman"/>
          <w:kern w:val="0"/>
          <w:szCs w:val="21"/>
        </w:rPr>
      </w:pPr>
      <w:r w:rsidRPr="00E36224">
        <w:rPr>
          <w:rFonts w:ascii="仿宋_GB2312" w:eastAsia="仿宋_GB2312" w:hAnsi="Times New Roman" w:hint="eastAsia"/>
          <w:kern w:val="0"/>
          <w:sz w:val="32"/>
          <w:szCs w:val="32"/>
        </w:rPr>
        <w:t>比赛满分为 100 分，占总成绩的 70%。</w:t>
      </w:r>
      <w:r>
        <w:rPr>
          <w:rFonts w:ascii="仿宋_GB2312" w:eastAsia="仿宋_GB2312" w:hAnsi="Times New Roman" w:hint="eastAsia"/>
          <w:kern w:val="0"/>
          <w:sz w:val="32"/>
          <w:szCs w:val="32"/>
        </w:rPr>
        <w:t>团队每位选手成绩之和为参赛团队总成绩。</w:t>
      </w:r>
    </w:p>
    <w:p w:rsidR="0022271E" w:rsidRDefault="0022271E" w:rsidP="0022271E">
      <w:pPr>
        <w:widowControl/>
        <w:snapToGrid w:val="0"/>
        <w:spacing w:line="580" w:lineRule="exact"/>
        <w:rPr>
          <w:szCs w:val="32"/>
        </w:rPr>
      </w:pPr>
      <w:r>
        <w:rPr>
          <w:rFonts w:ascii="Times New Roman" w:hAnsi="Times New Roman"/>
          <w:kern w:val="0"/>
          <w:sz w:val="32"/>
          <w:szCs w:val="32"/>
        </w:rPr>
        <w:t> </w:t>
      </w:r>
    </w:p>
    <w:p w:rsidR="0022271E" w:rsidRDefault="0022271E" w:rsidP="0022271E">
      <w:pPr>
        <w:spacing w:line="560" w:lineRule="exact"/>
        <w:jc w:val="left"/>
        <w:rPr>
          <w:rFonts w:ascii="黑体" w:eastAsia="黑体" w:hAnsi="黑体" w:cs="黑体"/>
          <w:w w:val="95"/>
          <w:kern w:val="0"/>
          <w:sz w:val="32"/>
          <w:szCs w:val="32"/>
        </w:rPr>
      </w:pPr>
    </w:p>
    <w:p w:rsidR="00FA346F" w:rsidRPr="0022271E" w:rsidRDefault="00FA346F"/>
    <w:sectPr w:rsidR="00FA346F" w:rsidRPr="0022271E" w:rsidSect="00E161E4">
      <w:headerReference w:type="default" r:id="rId6"/>
      <w:footerReference w:type="default" r:id="rId7"/>
      <w:pgSz w:w="11906" w:h="16838"/>
      <w:pgMar w:top="2098" w:right="1474" w:bottom="1985" w:left="1588" w:header="851" w:footer="992" w:gutter="0"/>
      <w:pgNumType w:fmt="numberInDash" w:start="1"/>
      <w:cols w:space="72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62" w:rsidRDefault="00327A62" w:rsidP="00E161E4">
      <w:r>
        <w:separator/>
      </w:r>
    </w:p>
  </w:endnote>
  <w:endnote w:type="continuationSeparator" w:id="0">
    <w:p w:rsidR="00327A62" w:rsidRDefault="00327A62" w:rsidP="00E16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62" w:rsidRDefault="0022575C">
    <w:pPr>
      <w:jc w:val="center"/>
      <w:rPr>
        <w:sz w:val="24"/>
        <w:szCs w:val="24"/>
      </w:rPr>
    </w:pPr>
    <w:r>
      <w:rPr>
        <w:sz w:val="24"/>
        <w:szCs w:val="24"/>
      </w:rPr>
      <w:fldChar w:fldCharType="begin"/>
    </w:r>
    <w:r w:rsidR="00D867C1">
      <w:rPr>
        <w:sz w:val="24"/>
        <w:szCs w:val="24"/>
      </w:rPr>
      <w:instrText xml:space="preserve"> PAGE   \* MERGEFORMAT </w:instrText>
    </w:r>
    <w:r>
      <w:rPr>
        <w:sz w:val="24"/>
        <w:szCs w:val="24"/>
      </w:rPr>
      <w:fldChar w:fldCharType="separate"/>
    </w:r>
    <w:r w:rsidR="00160DF1" w:rsidRPr="00160DF1">
      <w:rPr>
        <w:noProof/>
        <w:sz w:val="24"/>
        <w:szCs w:val="24"/>
        <w:lang w:val="zh-CN"/>
      </w:rPr>
      <w:t>-</w:t>
    </w:r>
    <w:r w:rsidR="00160DF1">
      <w:rPr>
        <w:noProof/>
        <w:sz w:val="24"/>
        <w:szCs w:val="24"/>
      </w:rPr>
      <w:t xml:space="preserve"> 1 -</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62" w:rsidRDefault="00327A62" w:rsidP="00E161E4">
      <w:r>
        <w:separator/>
      </w:r>
    </w:p>
  </w:footnote>
  <w:footnote w:type="continuationSeparator" w:id="0">
    <w:p w:rsidR="00327A62" w:rsidRDefault="00327A62" w:rsidP="00E16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A62" w:rsidRDefault="00D867C1">
    <w:pPr>
      <w:pStyle w:val="a3"/>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271E"/>
    <w:rsid w:val="000C3CDD"/>
    <w:rsid w:val="001459DA"/>
    <w:rsid w:val="00160DF1"/>
    <w:rsid w:val="001C3D49"/>
    <w:rsid w:val="001D4380"/>
    <w:rsid w:val="0022271E"/>
    <w:rsid w:val="0022575C"/>
    <w:rsid w:val="00327A62"/>
    <w:rsid w:val="00426034"/>
    <w:rsid w:val="00481588"/>
    <w:rsid w:val="00805518"/>
    <w:rsid w:val="00A9795E"/>
    <w:rsid w:val="00B847B9"/>
    <w:rsid w:val="00CE0DCB"/>
    <w:rsid w:val="00D867C1"/>
    <w:rsid w:val="00E161E4"/>
    <w:rsid w:val="00E336CA"/>
    <w:rsid w:val="00E36224"/>
    <w:rsid w:val="00E9333E"/>
    <w:rsid w:val="00F30447"/>
    <w:rsid w:val="00FA3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link w:val="a3"/>
    <w:rsid w:val="0022271E"/>
    <w:rPr>
      <w:sz w:val="18"/>
      <w:szCs w:val="18"/>
    </w:rPr>
  </w:style>
  <w:style w:type="paragraph" w:styleId="a3">
    <w:name w:val="header"/>
    <w:basedOn w:val="a"/>
    <w:link w:val="Char1"/>
    <w:rsid w:val="0022271E"/>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271E"/>
    <w:rPr>
      <w:rFonts w:ascii="Calibri" w:eastAsia="宋体" w:hAnsi="Calibri" w:cs="Times New Roman"/>
      <w:sz w:val="18"/>
      <w:szCs w:val="18"/>
    </w:rPr>
  </w:style>
  <w:style w:type="paragraph" w:styleId="a4">
    <w:name w:val="footer"/>
    <w:basedOn w:val="a"/>
    <w:link w:val="Char0"/>
    <w:uiPriority w:val="99"/>
    <w:semiHidden/>
    <w:unhideWhenUsed/>
    <w:rsid w:val="00F304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044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张军力</dc:creator>
  <cp:lastModifiedBy>张军力</cp:lastModifiedBy>
  <cp:revision>9</cp:revision>
  <dcterms:created xsi:type="dcterms:W3CDTF">2019-06-12T01:02:00Z</dcterms:created>
  <dcterms:modified xsi:type="dcterms:W3CDTF">2019-06-14T06:45:00Z</dcterms:modified>
</cp:coreProperties>
</file>