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25" w:firstLineChars="250"/>
        <w:rPr>
          <w:rFonts w:hint="eastAsia" w:ascii="方正小标宋_GBK" w:hAnsi="方正小标宋_GBK" w:eastAsia="方正小标宋_GBK" w:cs="方正小标宋_GBK"/>
          <w:color w:val="FF00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1560195</wp:posOffset>
                </wp:positionV>
                <wp:extent cx="5534025" cy="0"/>
                <wp:effectExtent l="0" t="25400" r="9525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75pt;margin-top:122.85pt;height:0pt;width:435.75pt;mso-position-horizontal-relative:page;mso-position-vertical-relative:page;z-index:251658240;mso-width-relative:page;mso-height-relative:page;" filled="f" stroked="t" coordsize="21600,21600" o:gfxdata="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/lYATaAAAA&#10;DAEAAA8AAAAAAAAAAQAgAAAAIgAAAGRycy9kb3ducmV2LnhtbFBLAQIUABQAAAAIAIdO4kCaSHK9&#10;4gEAAJ0DAAAOAAAAAAAAAAEAIAAAACkBAABkcnMvZTJvRG9jLnhtbFBLBQYAAAAABgAGAFkBAAB9&#10;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z w:val="76"/>
          <w:szCs w:val="76"/>
        </w:rPr>
        <w:t>秦 皇 岛 市 总 工 会</w:t>
      </w:r>
    </w:p>
    <w:p>
      <w:pPr>
        <w:spacing w:line="160" w:lineRule="exact"/>
        <w:rPr>
          <w:rFonts w:ascii="方正黑体简体" w:eastAsia="方正黑体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秦皇岛市总工会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关于转发河北省教育厅、河北省总工会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《关于做好农民工“求学圆梦行动”学历提升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教育工作的通知》的通知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各县、区总工会，市属各系统、产业工会，直属基层工会：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进一步推动农民工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求学圆梦行动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扎实有效开展，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充分调动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广大职工尤其是农民工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求学圆梦行动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的积极性，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帮助他们提升学历层次，提高专业技能；提升岗位胜任能力，促进产业转型；提升创新创业能力，助力万众创新；提升综合文化素质，融入城市生活。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河北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教育厅、河北省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总工会《关于做好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2018年度农民工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求学圆梦行动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提升教育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工作的通知》（以下简称《通知》）转发给你们，并就做好该项工作强调如下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　　一、高度重视，认真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组织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各级工会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要充分认识到，提升农民工学历与能力，让农民工拥有一技之长，对于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促进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经济社会转型发展和产业结构调整升级，帮助农民工稳定就业，提高幸福指数和获得感具有重大意义。要认真贯彻落实《通知》精神，积极发动落实，充分鼓励和动员本地区、本单位农民工报名参加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求学圆梦行动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right="0" w:rightChars="0" w:firstLine="640" w:firstLine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、加强组织，确保有效报名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农民工所在单位工会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负责审核确认报名考生资格，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河北省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农民工学历提升教报名登记表》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冀教高函〔201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并对报名登记表审核盖章后报送至上级工会。无固定就业单位农民工可到所在地县、区总工会或乡镇（街道）总工会审核报名。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各县、区总工会，市属各系统、产业工会，直属基层工会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将符合条件的参加学历提升教育的农民工考生名单审核、汇总、盖章后，将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河北省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农民工学历提升教育报名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汇总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冀教高函〔201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2）于8月17日前集中报送市总工会宣教部，同时电子版报送至宣教部邮箱qhdghxjb@163.com。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陈静、王亚非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，联系电话：0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3034138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秦皇岛市总工会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2018年8月8日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1247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仪细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-390525</wp:posOffset>
              </wp:positionV>
              <wp:extent cx="723265" cy="355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26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75pt;height:28pt;width:56.95pt;mso-position-horizontal:outside;mso-position-horizontal-relative:margin;z-index:251658240;mso-width-relative:page;mso-height-relative:page;" filled="f" stroked="f" coordsize="21600,21600" o:gfxdata="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WOlFbWAAAABwEAAA8A&#10;AAAAAAAAAQAgAAAAIgAAAGRycy9kb3ducmV2LnhtbFBLAQIUABQAAAAIAIdO4kA46LH2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A1F56"/>
    <w:rsid w:val="08B172BB"/>
    <w:rsid w:val="0B5C6FD0"/>
    <w:rsid w:val="0EFD2EB3"/>
    <w:rsid w:val="0FB969B1"/>
    <w:rsid w:val="103A05A5"/>
    <w:rsid w:val="11CC5A45"/>
    <w:rsid w:val="17CC3704"/>
    <w:rsid w:val="1E2032BE"/>
    <w:rsid w:val="20F169C4"/>
    <w:rsid w:val="23CE5B24"/>
    <w:rsid w:val="2C423C8A"/>
    <w:rsid w:val="31A738BF"/>
    <w:rsid w:val="36742924"/>
    <w:rsid w:val="389E18AF"/>
    <w:rsid w:val="3FFC2B41"/>
    <w:rsid w:val="4CFB3598"/>
    <w:rsid w:val="4DF302AD"/>
    <w:rsid w:val="50B47EEE"/>
    <w:rsid w:val="5CB60802"/>
    <w:rsid w:val="5E510401"/>
    <w:rsid w:val="60D34020"/>
    <w:rsid w:val="665C1F51"/>
    <w:rsid w:val="67C81907"/>
    <w:rsid w:val="68BE355B"/>
    <w:rsid w:val="6DFD5EC2"/>
    <w:rsid w:val="7E84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2018-08-09T07:58:00Z</cp:lastPrinted>
  <dcterms:modified xsi:type="dcterms:W3CDTF">2018-08-10T07:15:53Z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